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A" w:rsidRDefault="0011302A" w:rsidP="0011302A">
      <w:pPr>
        <w:jc w:val="both"/>
      </w:pPr>
    </w:p>
    <w:p w:rsidR="00677D9F" w:rsidRDefault="00677D9F" w:rsidP="0011302A">
      <w:pPr>
        <w:jc w:val="both"/>
      </w:pPr>
    </w:p>
    <w:p w:rsidR="0011302A" w:rsidRPr="00B945D1" w:rsidRDefault="00A117A6" w:rsidP="0011302A">
      <w:pPr>
        <w:pBdr>
          <w:top w:val="single" w:sz="24" w:space="1" w:color="auto"/>
          <w:left w:val="single" w:sz="24" w:space="4" w:color="auto"/>
          <w:bottom w:val="single" w:sz="24" w:space="1" w:color="auto"/>
          <w:right w:val="single" w:sz="24" w:space="4" w:color="auto"/>
        </w:pBdr>
        <w:shd w:val="clear" w:color="auto" w:fill="B3B3B3"/>
        <w:jc w:val="center"/>
        <w:rPr>
          <w:b/>
          <w:sz w:val="72"/>
          <w:szCs w:val="72"/>
        </w:rPr>
      </w:pPr>
      <w:r>
        <w:rPr>
          <w:b/>
          <w:sz w:val="72"/>
          <w:szCs w:val="72"/>
        </w:rPr>
        <w:t>PAYROLL PRIMER</w:t>
      </w:r>
    </w:p>
    <w:p w:rsidR="0011302A" w:rsidRPr="005B7677" w:rsidRDefault="00A117A6" w:rsidP="00A117A6">
      <w:pPr>
        <w:pBdr>
          <w:top w:val="single" w:sz="24" w:space="1" w:color="auto"/>
          <w:left w:val="single" w:sz="24" w:space="4" w:color="auto"/>
          <w:bottom w:val="single" w:sz="24" w:space="1" w:color="auto"/>
          <w:right w:val="single" w:sz="24" w:space="4" w:color="auto"/>
        </w:pBdr>
        <w:shd w:val="clear" w:color="auto" w:fill="B3B3B3"/>
        <w:jc w:val="center"/>
        <w:rPr>
          <w:b/>
          <w:i/>
          <w:sz w:val="28"/>
          <w:szCs w:val="28"/>
        </w:rPr>
      </w:pPr>
      <w:r>
        <w:rPr>
          <w:b/>
          <w:i/>
          <w:sz w:val="28"/>
          <w:szCs w:val="28"/>
        </w:rPr>
        <w:t>An HKEA</w:t>
      </w:r>
      <w:r w:rsidR="0011302A" w:rsidRPr="005B7677">
        <w:rPr>
          <w:b/>
          <w:i/>
          <w:sz w:val="28"/>
          <w:szCs w:val="28"/>
        </w:rPr>
        <w:t xml:space="preserve"> </w:t>
      </w:r>
      <w:r>
        <w:rPr>
          <w:b/>
          <w:i/>
          <w:sz w:val="28"/>
          <w:szCs w:val="28"/>
        </w:rPr>
        <w:t>guide</w:t>
      </w:r>
      <w:r w:rsidR="0011302A" w:rsidRPr="005B7677">
        <w:rPr>
          <w:b/>
          <w:i/>
          <w:sz w:val="28"/>
          <w:szCs w:val="28"/>
        </w:rPr>
        <w:t xml:space="preserve"> on payroll </w:t>
      </w:r>
      <w:r w:rsidR="0011302A">
        <w:rPr>
          <w:b/>
          <w:i/>
          <w:sz w:val="28"/>
          <w:szCs w:val="28"/>
        </w:rPr>
        <w:t xml:space="preserve">procedures from </w:t>
      </w:r>
      <w:smartTag w:uri="urn:schemas-microsoft-com:office:smarttags" w:element="PersonName">
        <w:r w:rsidR="0011302A">
          <w:rPr>
            <w:b/>
            <w:i/>
            <w:sz w:val="28"/>
            <w:szCs w:val="28"/>
          </w:rPr>
          <w:t>Jim Daniels</w:t>
        </w:r>
      </w:smartTag>
      <w:r w:rsidR="00F56C5F">
        <w:rPr>
          <w:b/>
          <w:i/>
          <w:sz w:val="28"/>
          <w:szCs w:val="28"/>
        </w:rPr>
        <w:t xml:space="preserve"> – Part Un</w:t>
      </w:r>
    </w:p>
    <w:p w:rsidR="0011302A" w:rsidRDefault="0011302A" w:rsidP="0011302A">
      <w:pPr>
        <w:jc w:val="both"/>
      </w:pPr>
    </w:p>
    <w:p w:rsidR="0018279E" w:rsidRDefault="00A3094A" w:rsidP="0011302A">
      <w:pPr>
        <w:jc w:val="both"/>
      </w:pPr>
      <w:r>
        <w:t>August 30</w:t>
      </w:r>
      <w:r w:rsidR="000C526C">
        <w:t>, 2018</w:t>
      </w:r>
    </w:p>
    <w:p w:rsidR="00A3094A" w:rsidRDefault="00A3094A" w:rsidP="0011302A">
      <w:pPr>
        <w:jc w:val="both"/>
      </w:pPr>
    </w:p>
    <w:p w:rsidR="00F56C5F" w:rsidRDefault="00A3094A" w:rsidP="0011302A">
      <w:pPr>
        <w:jc w:val="both"/>
      </w:pPr>
      <w:r>
        <w:rPr>
          <w:spacing w:val="-2"/>
        </w:rPr>
        <w:t>The 2018</w:t>
      </w:r>
      <w:r w:rsidR="00A81138">
        <w:rPr>
          <w:spacing w:val="-2"/>
        </w:rPr>
        <w:t xml:space="preserve"> editions of the Payroll Prim</w:t>
      </w:r>
      <w:r w:rsidR="00007D41">
        <w:rPr>
          <w:spacing w:val="-2"/>
        </w:rPr>
        <w:t>er are provided by the HKEA</w:t>
      </w:r>
      <w:r w:rsidR="00421B9B" w:rsidRPr="00320C97">
        <w:rPr>
          <w:spacing w:val="-2"/>
        </w:rPr>
        <w:t xml:space="preserve"> to help </w:t>
      </w:r>
      <w:r w:rsidR="00A81138">
        <w:rPr>
          <w:spacing w:val="-2"/>
        </w:rPr>
        <w:t>our</w:t>
      </w:r>
      <w:r w:rsidR="00421B9B" w:rsidRPr="00320C97">
        <w:rPr>
          <w:spacing w:val="-2"/>
        </w:rPr>
        <w:t xml:space="preserve"> members understand and authenticate their payroll </w:t>
      </w:r>
      <w:r w:rsidR="00407C1E">
        <w:rPr>
          <w:spacing w:val="-2"/>
        </w:rPr>
        <w:t>statements</w:t>
      </w:r>
      <w:r w:rsidR="00421B9B" w:rsidRPr="00320C97">
        <w:rPr>
          <w:spacing w:val="-2"/>
        </w:rPr>
        <w:t xml:space="preserve">. </w:t>
      </w:r>
      <w:r>
        <w:rPr>
          <w:spacing w:val="-2"/>
        </w:rPr>
        <w:t xml:space="preserve">It is but one of the many benefits of HKEA membership. </w:t>
      </w:r>
      <w:r w:rsidR="0011302A" w:rsidRPr="00320C97">
        <w:rPr>
          <w:spacing w:val="-2"/>
        </w:rPr>
        <w:t xml:space="preserve">This </w:t>
      </w:r>
      <w:r w:rsidR="00F56C5F" w:rsidRPr="00320C97">
        <w:rPr>
          <w:spacing w:val="-2"/>
        </w:rPr>
        <w:t>first installment</w:t>
      </w:r>
      <w:r w:rsidR="0011302A" w:rsidRPr="00320C97">
        <w:rPr>
          <w:spacing w:val="-2"/>
        </w:rPr>
        <w:t xml:space="preserve"> of the primer on payroll procedures will coordinate with today’s</w:t>
      </w:r>
      <w:r w:rsidR="00B949DA" w:rsidRPr="00320C97">
        <w:rPr>
          <w:spacing w:val="-2"/>
        </w:rPr>
        <w:t xml:space="preserve"> </w:t>
      </w:r>
      <w:r w:rsidR="00D11BBC" w:rsidRPr="00320C97">
        <w:rPr>
          <w:spacing w:val="-2"/>
        </w:rPr>
        <w:t xml:space="preserve">wonderful </w:t>
      </w:r>
      <w:r w:rsidR="00B949DA" w:rsidRPr="00320C97">
        <w:rPr>
          <w:spacing w:val="-2"/>
        </w:rPr>
        <w:t>“</w:t>
      </w:r>
      <w:r w:rsidR="00D11BBC" w:rsidRPr="00320C97">
        <w:rPr>
          <w:spacing w:val="-2"/>
        </w:rPr>
        <w:t>third</w:t>
      </w:r>
      <w:r w:rsidR="00B949DA" w:rsidRPr="00320C97">
        <w:rPr>
          <w:spacing w:val="-2"/>
        </w:rPr>
        <w:t>”</w:t>
      </w:r>
      <w:r w:rsidR="0011302A" w:rsidRPr="00320C97">
        <w:rPr>
          <w:spacing w:val="-2"/>
        </w:rPr>
        <w:t xml:space="preserve"> check. </w:t>
      </w:r>
      <w:r w:rsidR="00F56C5F" w:rsidRPr="00320C97">
        <w:rPr>
          <w:spacing w:val="-2"/>
        </w:rPr>
        <w:t xml:space="preserve">The first </w:t>
      </w:r>
      <w:r w:rsidR="00BD3042">
        <w:rPr>
          <w:spacing w:val="-2"/>
        </w:rPr>
        <w:t>payday</w:t>
      </w:r>
      <w:r w:rsidR="00F56C5F" w:rsidRPr="00320C97">
        <w:rPr>
          <w:spacing w:val="-2"/>
        </w:rPr>
        <w:t xml:space="preserve"> is guaranteed by contract to be the first Thursday we work. That’s a big help since we are coming off a summer of no pay. </w:t>
      </w:r>
      <w:r w:rsidR="00A81138">
        <w:rPr>
          <w:spacing w:val="-2"/>
        </w:rPr>
        <w:t>What makes a</w:t>
      </w:r>
      <w:r w:rsidR="00D11BBC" w:rsidRPr="00320C97">
        <w:rPr>
          <w:spacing w:val="-2"/>
        </w:rPr>
        <w:t xml:space="preserve"> “third” paycheck </w:t>
      </w:r>
      <w:r w:rsidR="00A81138">
        <w:rPr>
          <w:spacing w:val="-2"/>
        </w:rPr>
        <w:t>so wonderful is its</w:t>
      </w:r>
      <w:r w:rsidR="00D11BBC" w:rsidRPr="00320C97">
        <w:rPr>
          <w:spacing w:val="-2"/>
        </w:rPr>
        <w:t xml:space="preserve"> minimal deductions. Only </w:t>
      </w:r>
      <w:r w:rsidR="00A81138">
        <w:rPr>
          <w:spacing w:val="-2"/>
        </w:rPr>
        <w:t>those</w:t>
      </w:r>
      <w:r w:rsidR="00D11BBC" w:rsidRPr="00320C97">
        <w:rPr>
          <w:spacing w:val="-2"/>
        </w:rPr>
        <w:t xml:space="preserve"> deductions will be featured in today’s Primer.</w:t>
      </w:r>
      <w:r w:rsidR="00392019">
        <w:rPr>
          <w:spacing w:val="-2"/>
        </w:rPr>
        <w:t xml:space="preserve"> </w:t>
      </w:r>
      <w:r w:rsidR="00A81138">
        <w:rPr>
          <w:spacing w:val="-2"/>
        </w:rPr>
        <w:t xml:space="preserve">This </w:t>
      </w:r>
      <w:r>
        <w:rPr>
          <w:spacing w:val="-2"/>
        </w:rPr>
        <w:t>school year there is</w:t>
      </w:r>
      <w:r w:rsidR="00C16CFC">
        <w:rPr>
          <w:spacing w:val="-2"/>
        </w:rPr>
        <w:t xml:space="preserve"> </w:t>
      </w:r>
      <w:r>
        <w:rPr>
          <w:spacing w:val="-2"/>
        </w:rPr>
        <w:t xml:space="preserve">a unique </w:t>
      </w:r>
      <w:r w:rsidR="00A81138">
        <w:rPr>
          <w:spacing w:val="-2"/>
        </w:rPr>
        <w:t xml:space="preserve">pay date schedule that is detailed in the next paragraph. Members should pay particular attention to the section about step placement on the bottom of the second page. </w:t>
      </w:r>
      <w:r w:rsidR="00392019">
        <w:rPr>
          <w:spacing w:val="-2"/>
        </w:rPr>
        <w:t xml:space="preserve"> </w:t>
      </w:r>
      <w:r w:rsidR="00B32860" w:rsidRPr="00320C97">
        <w:rPr>
          <w:spacing w:val="-2"/>
        </w:rPr>
        <w:t xml:space="preserve">Financial benefits are but the start of the benefits enabled by your </w:t>
      </w:r>
      <w:r w:rsidR="000B1790" w:rsidRPr="00320C97">
        <w:rPr>
          <w:spacing w:val="-2"/>
        </w:rPr>
        <w:t xml:space="preserve">full </w:t>
      </w:r>
      <w:r w:rsidR="00392019">
        <w:rPr>
          <w:spacing w:val="-2"/>
        </w:rPr>
        <w:t xml:space="preserve">new </w:t>
      </w:r>
      <w:r w:rsidR="00B32860" w:rsidRPr="00320C97">
        <w:rPr>
          <w:spacing w:val="-2"/>
        </w:rPr>
        <w:t>contract which can be found at</w:t>
      </w:r>
      <w:r w:rsidR="00B32860">
        <w:t xml:space="preserve"> </w:t>
      </w:r>
    </w:p>
    <w:p w:rsidR="00392019" w:rsidRDefault="00DD5EF1" w:rsidP="0011302A">
      <w:pPr>
        <w:jc w:val="both"/>
      </w:pPr>
      <w:hyperlink r:id="rId7" w:history="1">
        <w:r w:rsidR="00C16CFC" w:rsidRPr="007B05F2">
          <w:rPr>
            <w:rStyle w:val="Hyperlink"/>
          </w:rPr>
          <w:t>http://www.rsd17.org/district/documents/2018/HKEAteachercontract711863021FINAL.pdf</w:t>
        </w:r>
      </w:hyperlink>
      <w:r w:rsidR="00007D41">
        <w:t xml:space="preserve">. Further benefits stem from coordinated NEA membership. They can be found at </w:t>
      </w:r>
      <w:hyperlink r:id="rId8" w:history="1">
        <w:r w:rsidR="00007D41" w:rsidRPr="00555291">
          <w:rPr>
            <w:rStyle w:val="Hyperlink"/>
          </w:rPr>
          <w:t>https://www.neamb.com/</w:t>
        </w:r>
      </w:hyperlink>
      <w:r w:rsidR="00007D41">
        <w:t xml:space="preserve">. CEA financial benefits can be found at </w:t>
      </w:r>
      <w:hyperlink r:id="rId9" w:history="1">
        <w:r w:rsidR="00007D41" w:rsidRPr="00555291">
          <w:rPr>
            <w:rStyle w:val="Hyperlink"/>
          </w:rPr>
          <w:t>http://www.cea.org/memberBenefits/</w:t>
        </w:r>
      </w:hyperlink>
      <w:r w:rsidR="00007D41">
        <w:t xml:space="preserve">. </w:t>
      </w:r>
    </w:p>
    <w:p w:rsidR="00C16CFC" w:rsidRDefault="00C16CFC" w:rsidP="0011302A">
      <w:pPr>
        <w:jc w:val="both"/>
      </w:pPr>
    </w:p>
    <w:p w:rsidR="00D41E5B" w:rsidRDefault="00421B9B" w:rsidP="00421B9B">
      <w:pPr>
        <w:jc w:val="both"/>
        <w:rPr>
          <w:color w:val="C00000"/>
        </w:rPr>
      </w:pPr>
      <w:r>
        <w:t xml:space="preserve">Use today’s Primer to verify the accuracy of today’s </w:t>
      </w:r>
      <w:r w:rsidR="00A81138">
        <w:t xml:space="preserve">payroll </w:t>
      </w:r>
      <w:r w:rsidR="00BD3042">
        <w:t>statement</w:t>
      </w:r>
      <w:r>
        <w:t xml:space="preserve"> as we start a new school year. </w:t>
      </w:r>
      <w:r w:rsidRPr="00421B9B">
        <w:t>You can expect Part Deux of the</w:t>
      </w:r>
      <w:r w:rsidR="00D11BBC">
        <w:t xml:space="preserve"> Primer on </w:t>
      </w:r>
      <w:r w:rsidR="00BD3042">
        <w:t xml:space="preserve">the next payday, </w:t>
      </w:r>
      <w:r w:rsidR="00D11BBC">
        <w:t>Thursday September</w:t>
      </w:r>
      <w:r w:rsidR="008D1FEF">
        <w:t xml:space="preserve"> 6</w:t>
      </w:r>
      <w:r w:rsidRPr="00421B9B">
        <w:rPr>
          <w:vertAlign w:val="superscript"/>
        </w:rPr>
        <w:t>th</w:t>
      </w:r>
      <w:r w:rsidRPr="00421B9B">
        <w:t xml:space="preserve">. </w:t>
      </w:r>
      <w:r>
        <w:t xml:space="preserve">That edition will review the different payroll math of </w:t>
      </w:r>
      <w:r w:rsidR="00233A4D">
        <w:t>that</w:t>
      </w:r>
      <w:r>
        <w:t xml:space="preserve"> “</w:t>
      </w:r>
      <w:r w:rsidR="00D11BBC">
        <w:t>regular</w:t>
      </w:r>
      <w:r>
        <w:t xml:space="preserve">” check. When questions arise about </w:t>
      </w:r>
      <w:r w:rsidR="00C5428C">
        <w:t xml:space="preserve">any of these </w:t>
      </w:r>
      <w:r>
        <w:t>paychecks you should contact the</w:t>
      </w:r>
      <w:r w:rsidRPr="00407C1E">
        <w:t xml:space="preserve"> </w:t>
      </w:r>
      <w:r w:rsidR="00D57F1B" w:rsidRPr="00407C1E">
        <w:t xml:space="preserve">district’s </w:t>
      </w:r>
      <w:r w:rsidR="004413CF" w:rsidRPr="00407C1E">
        <w:t>payroll</w:t>
      </w:r>
      <w:r w:rsidRPr="00407C1E">
        <w:t xml:space="preserve"> specialist, </w:t>
      </w:r>
      <w:r w:rsidR="00407C1E">
        <w:t>Amber White</w:t>
      </w:r>
      <w:r w:rsidR="00B32860" w:rsidRPr="00407C1E">
        <w:t>,</w:t>
      </w:r>
      <w:r w:rsidR="00C5428C" w:rsidRPr="00407C1E">
        <w:t xml:space="preserve"> </w:t>
      </w:r>
      <w:hyperlink r:id="rId10" w:history="1">
        <w:r w:rsidR="007265D9" w:rsidRPr="007B05F2">
          <w:rPr>
            <w:rStyle w:val="Hyperlink"/>
          </w:rPr>
          <w:t>awhite@rsd17.org</w:t>
        </w:r>
      </w:hyperlink>
      <w:r w:rsidR="003550EB">
        <w:t xml:space="preserve"> or 860-345-4534</w:t>
      </w:r>
      <w:r w:rsidR="00B32860">
        <w:t>,</w:t>
      </w:r>
      <w:r w:rsidR="00D57F1B">
        <w:t xml:space="preserve"> and</w:t>
      </w:r>
      <w:r>
        <w:t xml:space="preserve">/or me at </w:t>
      </w:r>
      <w:hyperlink r:id="rId11" w:history="1">
        <w:r w:rsidR="008D1FEF" w:rsidRPr="007265D9">
          <w:rPr>
            <w:rStyle w:val="Hyperlink"/>
          </w:rPr>
          <w:t>jfdaniels@gmail.com</w:t>
        </w:r>
      </w:hyperlink>
      <w:r w:rsidR="008D1FEF">
        <w:t xml:space="preserve"> or 860-543-2248</w:t>
      </w:r>
      <w:r w:rsidR="00D11BBC">
        <w:t>.</w:t>
      </w:r>
      <w:r>
        <w:t xml:space="preserve"> </w:t>
      </w:r>
      <w:r w:rsidR="00A81138">
        <w:t>The next pay</w:t>
      </w:r>
      <w:r w:rsidR="00D41E5B">
        <w:t xml:space="preserve"> </w:t>
      </w:r>
      <w:r w:rsidR="00A81138">
        <w:t>date being n</w:t>
      </w:r>
      <w:r w:rsidR="003550EB">
        <w:t>ext week on Thursday September</w:t>
      </w:r>
      <w:r w:rsidR="008D1FEF">
        <w:t xml:space="preserve"> 6</w:t>
      </w:r>
      <w:r w:rsidR="008D1FEF" w:rsidRPr="007265D9">
        <w:rPr>
          <w:vertAlign w:val="superscript"/>
        </w:rPr>
        <w:t>th</w:t>
      </w:r>
      <w:r w:rsidR="007265D9">
        <w:t xml:space="preserve"> is not a typo</w:t>
      </w:r>
      <w:r w:rsidR="00A81138">
        <w:t xml:space="preserve">. </w:t>
      </w:r>
      <w:r w:rsidR="002F28AA">
        <w:t>For various reasons</w:t>
      </w:r>
      <w:r w:rsidR="00A81138">
        <w:t xml:space="preserve"> this stutter step in our </w:t>
      </w:r>
      <w:r w:rsidR="002F28AA">
        <w:t xml:space="preserve">pay date </w:t>
      </w:r>
      <w:r w:rsidR="00A81138">
        <w:t xml:space="preserve">schedule was </w:t>
      </w:r>
      <w:r w:rsidR="003550EB">
        <w:t xml:space="preserve">again </w:t>
      </w:r>
      <w:r w:rsidR="00A81138">
        <w:t>enacted for this school year. Aft</w:t>
      </w:r>
      <w:r w:rsidR="008D1FEF">
        <w:t>er September 6</w:t>
      </w:r>
      <w:r w:rsidR="00A81138" w:rsidRPr="00A81138">
        <w:rPr>
          <w:vertAlign w:val="superscript"/>
        </w:rPr>
        <w:t>th</w:t>
      </w:r>
      <w:r w:rsidR="00D41E5B">
        <w:t xml:space="preserve"> paychecks will occur every two weeks. </w:t>
      </w:r>
      <w:r w:rsidR="007265D9">
        <w:t xml:space="preserve">See the schedule for payroll dates at </w:t>
      </w:r>
      <w:hyperlink r:id="rId12" w:history="1">
        <w:r w:rsidR="007265D9" w:rsidRPr="007B05F2">
          <w:rPr>
            <w:rStyle w:val="Hyperlink"/>
          </w:rPr>
          <w:t>http://www.rsd17.org/staff/documents/Payroll%20Schedules%202018-2019%20TEACHERS.pdf</w:t>
        </w:r>
      </w:hyperlink>
      <w:r w:rsidR="007265D9">
        <w:t xml:space="preserve">. </w:t>
      </w:r>
      <w:r w:rsidR="00BD3042">
        <w:t>You will receive a biweekly statement of your pay and deductions at an e-mail address you have specified. In the absence of an e-mail address you will be given a hard copy</w:t>
      </w:r>
      <w:r w:rsidR="00BD3042" w:rsidRPr="003550EB">
        <w:t>.</w:t>
      </w:r>
      <w:r w:rsidR="00C2593A">
        <w:t xml:space="preserve"> November will be a three paycheck month with a wonderful “third check” on November </w:t>
      </w:r>
      <w:r w:rsidR="007265D9">
        <w:rPr>
          <w:color w:val="000000" w:themeColor="text1"/>
        </w:rPr>
        <w:t>29</w:t>
      </w:r>
      <w:r w:rsidR="00C2593A" w:rsidRPr="00C2593A">
        <w:rPr>
          <w:color w:val="000000" w:themeColor="text1"/>
          <w:vertAlign w:val="superscript"/>
        </w:rPr>
        <w:t>th</w:t>
      </w:r>
      <w:r w:rsidR="00C2593A" w:rsidRPr="00C2593A">
        <w:rPr>
          <w:color w:val="000000" w:themeColor="text1"/>
        </w:rPr>
        <w:t>.</w:t>
      </w:r>
      <w:r w:rsidR="00BD3042" w:rsidRPr="003550EB">
        <w:t xml:space="preserve"> </w:t>
      </w:r>
      <w:r w:rsidR="00C2593A">
        <w:t>There will be three pay dates in May but o</w:t>
      </w:r>
      <w:r w:rsidR="007265D9">
        <w:t>nly one check in June on June 13</w:t>
      </w:r>
      <w:r w:rsidR="00C2593A" w:rsidRPr="00C2593A">
        <w:rPr>
          <w:vertAlign w:val="superscript"/>
        </w:rPr>
        <w:t>th</w:t>
      </w:r>
      <w:r w:rsidR="00C2593A">
        <w:t xml:space="preserve">. So in total there will be the usual 22 pay dates. This causes a twist at the end of the school year. The 22 </w:t>
      </w:r>
      <w:r w:rsidR="00903586">
        <w:t>pay dates</w:t>
      </w:r>
      <w:r w:rsidR="00C2593A">
        <w:t xml:space="preserve"> have to be 20 “regular” checks and two “third checks”. Again, there</w:t>
      </w:r>
      <w:r w:rsidR="007265D9">
        <w:t xml:space="preserve"> are “third” checks on August 30</w:t>
      </w:r>
      <w:r w:rsidR="00C2593A" w:rsidRPr="00C2593A">
        <w:rPr>
          <w:vertAlign w:val="superscript"/>
        </w:rPr>
        <w:t>st</w:t>
      </w:r>
      <w:r w:rsidR="007265D9">
        <w:t xml:space="preserve"> and November 29</w:t>
      </w:r>
      <w:r w:rsidR="00C2593A" w:rsidRPr="00C2593A">
        <w:rPr>
          <w:vertAlign w:val="superscript"/>
        </w:rPr>
        <w:t>th</w:t>
      </w:r>
      <w:r w:rsidR="007265D9">
        <w:t>, so the check on May 30,2019</w:t>
      </w:r>
      <w:r w:rsidR="00C2593A">
        <w:t xml:space="preserve"> will be treated as a “regular” check</w:t>
      </w:r>
      <w:r w:rsidR="00007D41">
        <w:t xml:space="preserve"> – as if it was the first” regular” paycheck of June. The only check in June on the 13</w:t>
      </w:r>
      <w:r w:rsidR="00007D41" w:rsidRPr="00007D41">
        <w:rPr>
          <w:vertAlign w:val="superscript"/>
        </w:rPr>
        <w:t>th</w:t>
      </w:r>
      <w:r w:rsidR="00007D41">
        <w:t xml:space="preserve"> will function as the second regular paycheck of June. </w:t>
      </w:r>
      <w:r w:rsidR="00C2593A">
        <w:t xml:space="preserve">Clear? It’s a bit convoluted, but entirely proper and the money is flowing in a way consistent with past years and the contract. During </w:t>
      </w:r>
      <w:r w:rsidR="00C2593A" w:rsidRPr="00C2593A">
        <w:rPr>
          <w:i/>
        </w:rPr>
        <w:t>calendar</w:t>
      </w:r>
      <w:r w:rsidR="007265D9">
        <w:t xml:space="preserve"> year 2018</w:t>
      </w:r>
      <w:r w:rsidR="00C2593A">
        <w:t xml:space="preserve"> there will be 22 pay dates just like </w:t>
      </w:r>
      <w:r w:rsidR="00C2593A" w:rsidRPr="00C2593A">
        <w:rPr>
          <w:i/>
        </w:rPr>
        <w:t>calendar</w:t>
      </w:r>
      <w:r w:rsidR="007265D9">
        <w:t xml:space="preserve"> year 2017</w:t>
      </w:r>
      <w:r w:rsidR="00C2593A">
        <w:t xml:space="preserve">. </w:t>
      </w:r>
    </w:p>
    <w:p w:rsidR="00C2593A" w:rsidRDefault="00C2593A" w:rsidP="00421B9B">
      <w:pPr>
        <w:jc w:val="both"/>
      </w:pPr>
    </w:p>
    <w:p w:rsidR="00421B9B" w:rsidRDefault="00D57F1B" w:rsidP="00421B9B">
      <w:pPr>
        <w:jc w:val="both"/>
      </w:pPr>
      <w:r>
        <w:t>Understand that each new year</w:t>
      </w:r>
      <w:r w:rsidR="00C5428C">
        <w:t xml:space="preserve"> prompts the need for a new complete review of </w:t>
      </w:r>
      <w:r w:rsidR="00007D41">
        <w:t xml:space="preserve">the initial </w:t>
      </w:r>
      <w:r w:rsidR="00903586">
        <w:t>payroll statement</w:t>
      </w:r>
      <w:r w:rsidR="00C5428C">
        <w:t>. Few number</w:t>
      </w:r>
      <w:r w:rsidR="00211C2B">
        <w:t>s</w:t>
      </w:r>
      <w:r w:rsidR="00C5428C">
        <w:t xml:space="preserve"> will be the same as last school year – there </w:t>
      </w:r>
      <w:r w:rsidR="007265D9">
        <w:t>are</w:t>
      </w:r>
      <w:r w:rsidR="00C5428C">
        <w:t xml:space="preserve"> new salaries, new deductions, etc. Furthermore, some of the sections of this primer have new</w:t>
      </w:r>
      <w:r w:rsidR="00616F0E">
        <w:t>,</w:t>
      </w:r>
      <w:r w:rsidR="00C5428C">
        <w:t xml:space="preserve"> more extensive information. </w:t>
      </w:r>
      <w:r w:rsidR="00421B9B" w:rsidRPr="003A2A0C">
        <w:t xml:space="preserve">What follows are the names and descriptions of check line items. Each is headlined in the same manner with </w:t>
      </w:r>
      <w:r w:rsidR="00421B9B">
        <w:t xml:space="preserve">a box showing </w:t>
      </w:r>
      <w:r w:rsidR="00421B9B" w:rsidRPr="003A2A0C">
        <w:t xml:space="preserve">the abbreviation used on the </w:t>
      </w:r>
      <w:r w:rsidR="00407C1E">
        <w:t>statement</w:t>
      </w:r>
      <w:r w:rsidR="00421B9B" w:rsidRPr="003A2A0C">
        <w:t xml:space="preserve"> and a description of the teachers </w:t>
      </w:r>
      <w:r w:rsidR="00421B9B">
        <w:t xml:space="preserve">who </w:t>
      </w:r>
      <w:r w:rsidR="00421B9B" w:rsidRPr="003A2A0C">
        <w:t xml:space="preserve">should </w:t>
      </w:r>
      <w:r w:rsidR="00421B9B" w:rsidRPr="003A2A0C">
        <w:lastRenderedPageBreak/>
        <w:t>expect to see this listed on their individual check</w:t>
      </w:r>
      <w:r w:rsidR="00421B9B">
        <w:t>.</w:t>
      </w:r>
      <w:r w:rsidR="00421B9B" w:rsidRPr="003A2A0C">
        <w:t xml:space="preserve"> </w:t>
      </w:r>
      <w:r w:rsidR="00421B9B">
        <w:t xml:space="preserve">The text that follows each box gives the details of that item’s implementation. </w:t>
      </w:r>
    </w:p>
    <w:p w:rsidR="007E2D70" w:rsidRPr="003A2A0C" w:rsidRDefault="007E2D70" w:rsidP="000804E4"/>
    <w:p w:rsidR="00421B9B" w:rsidRPr="003A2A0C" w:rsidRDefault="00421B9B" w:rsidP="00421B9B"/>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421B9B" w:rsidRPr="00421B9B" w:rsidTr="00421B9B">
        <w:tc>
          <w:tcPr>
            <w:tcW w:w="2448" w:type="dxa"/>
          </w:tcPr>
          <w:p w:rsidR="00421B9B" w:rsidRPr="00421B9B" w:rsidRDefault="00421B9B" w:rsidP="00274FFD">
            <w:pPr>
              <w:rPr>
                <w:b/>
              </w:rPr>
            </w:pPr>
            <w:r w:rsidRPr="00421B9B">
              <w:rPr>
                <w:b/>
              </w:rPr>
              <w:t>abbreviation</w:t>
            </w:r>
          </w:p>
        </w:tc>
        <w:tc>
          <w:tcPr>
            <w:tcW w:w="6408" w:type="dxa"/>
          </w:tcPr>
          <w:p w:rsidR="00421B9B" w:rsidRPr="00421B9B" w:rsidRDefault="00421B9B" w:rsidP="00274FFD">
            <w:pPr>
              <w:rPr>
                <w:b/>
              </w:rPr>
            </w:pPr>
            <w:r w:rsidRPr="00421B9B">
              <w:rPr>
                <w:b/>
              </w:rPr>
              <w:t xml:space="preserve">teachers for whom that item is relevant </w:t>
            </w:r>
          </w:p>
        </w:tc>
      </w:tr>
    </w:tbl>
    <w:p w:rsidR="00421B9B" w:rsidRPr="003A2A0C" w:rsidRDefault="00421B9B" w:rsidP="00421B9B">
      <w:pPr>
        <w:jc w:val="both"/>
      </w:pPr>
    </w:p>
    <w:p w:rsidR="00E84AB6" w:rsidRDefault="0011302A" w:rsidP="002B2D48">
      <w:pPr>
        <w:jc w:val="both"/>
      </w:pPr>
      <w:r w:rsidRPr="003A2A0C">
        <w:t>Individual teachers can verify the accuracy of today’s check on a line by line basis with this document. Any issues that are spotted can be dealt with early in the school year</w:t>
      </w:r>
      <w:r w:rsidR="0010170D">
        <w:t xml:space="preserve">. </w:t>
      </w:r>
      <w:r w:rsidRPr="003A2A0C">
        <w:t xml:space="preserve">All entries have a dollar value for this check and a year to date column. The year to date </w:t>
      </w:r>
      <w:r w:rsidR="004B591C">
        <w:t xml:space="preserve">is on a </w:t>
      </w:r>
      <w:r w:rsidR="00495178">
        <w:t>calendar</w:t>
      </w:r>
      <w:r w:rsidR="004B591C">
        <w:t xml:space="preserve"> year basis and covers from J</w:t>
      </w:r>
      <w:r w:rsidR="007265D9">
        <w:t>anuary 1, 2018</w:t>
      </w:r>
      <w:r w:rsidR="004B591C">
        <w:t xml:space="preserve"> through today’s check.</w:t>
      </w:r>
      <w:r w:rsidR="00D446DF">
        <w:t xml:space="preserve"> </w:t>
      </w:r>
      <w:r>
        <w:t>Federal tax, state tax, and Medicare (if applicable) are deductions that by law are made from every check</w:t>
      </w:r>
      <w:r w:rsidR="00E84AB6">
        <w:t xml:space="preserve">. They will be the only deductions from today’s check. </w:t>
      </w:r>
    </w:p>
    <w:p w:rsidR="00D446DF" w:rsidRDefault="00D446DF" w:rsidP="002B2D48">
      <w:pPr>
        <w:jc w:val="both"/>
      </w:pPr>
    </w:p>
    <w:p w:rsidR="00CA3608" w:rsidRDefault="002B2D48" w:rsidP="0011302A">
      <w:pPr>
        <w:jc w:val="both"/>
      </w:pPr>
      <w:r>
        <w:t xml:space="preserve">Legally, you should consider the content </w:t>
      </w:r>
      <w:r w:rsidR="00470C31">
        <w:t>of this primer</w:t>
      </w:r>
      <w:r>
        <w:t xml:space="preserve"> as general background information and not as endorsements by me or the HKEA of any mentioned institutions or financial procedures. You should consult your private financial advisor for information c</w:t>
      </w:r>
      <w:r w:rsidR="0010170D">
        <w:t xml:space="preserve">ustomized to your circumstances in all </w:t>
      </w:r>
      <w:r w:rsidR="00492D91">
        <w:t>financial</w:t>
      </w:r>
      <w:r w:rsidR="0010170D">
        <w:t xml:space="preserve"> matters</w:t>
      </w:r>
      <w:r w:rsidR="00B964A1">
        <w:t xml:space="preserve"> before you make decisions</w:t>
      </w:r>
      <w:r w:rsidR="0010170D">
        <w:t>.</w:t>
      </w:r>
    </w:p>
    <w:p w:rsidR="00E84AB6" w:rsidRDefault="00E84AB6" w:rsidP="0011302A">
      <w:pPr>
        <w:jc w:val="both"/>
      </w:pPr>
    </w:p>
    <w:p w:rsidR="00E84AB6" w:rsidRDefault="00E84AB6" w:rsidP="0011302A">
      <w:pPr>
        <w:jc w:val="both"/>
      </w:pPr>
    </w:p>
    <w:p w:rsidR="000F70C7" w:rsidRPr="000F70C7" w:rsidRDefault="000F70C7" w:rsidP="000F70C7">
      <w:pPr>
        <w:jc w:val="both"/>
      </w:pPr>
      <w:r w:rsidRPr="00A77432">
        <w:rPr>
          <w:b/>
          <w:sz w:val="32"/>
          <w:u w:val="single"/>
        </w:rPr>
        <w:t>In the Earnings section of the paycheck…</w:t>
      </w:r>
    </w:p>
    <w:p w:rsidR="000F70C7" w:rsidRDefault="000F70C7" w:rsidP="000F70C7">
      <w:pPr>
        <w:rPr>
          <w:u w:val="single"/>
        </w:rPr>
      </w:pPr>
      <w:r>
        <w:rPr>
          <w:u w:val="single"/>
        </w:rPr>
        <w:t xml:space="preserve"> </w:t>
      </w:r>
    </w:p>
    <w:p w:rsidR="00F61F4A" w:rsidRPr="00FE1DD8" w:rsidRDefault="00F61F4A" w:rsidP="00F61F4A">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F61F4A" w:rsidRPr="00B337A3" w:rsidTr="00707EF8">
        <w:tc>
          <w:tcPr>
            <w:tcW w:w="2448" w:type="dxa"/>
          </w:tcPr>
          <w:p w:rsidR="00F61F4A" w:rsidRPr="00B337A3" w:rsidRDefault="00F61F4A" w:rsidP="00707EF8">
            <w:pPr>
              <w:rPr>
                <w:b/>
              </w:rPr>
            </w:pPr>
            <w:r>
              <w:rPr>
                <w:b/>
              </w:rPr>
              <w:t xml:space="preserve">Specific Teaching area (like Art Teacher Salaries) </w:t>
            </w:r>
          </w:p>
        </w:tc>
        <w:tc>
          <w:tcPr>
            <w:tcW w:w="6408" w:type="dxa"/>
          </w:tcPr>
          <w:p w:rsidR="00F61F4A" w:rsidRPr="00B337A3" w:rsidRDefault="00F61F4A" w:rsidP="00707EF8">
            <w:pPr>
              <w:rPr>
                <w:b/>
              </w:rPr>
            </w:pPr>
            <w:r w:rsidRPr="00B337A3">
              <w:rPr>
                <w:b/>
              </w:rPr>
              <w:t>All teachers</w:t>
            </w:r>
          </w:p>
        </w:tc>
      </w:tr>
    </w:tbl>
    <w:p w:rsidR="00F61F4A" w:rsidRPr="00FE1DD8" w:rsidRDefault="00F61F4A" w:rsidP="00F61F4A">
      <w:pPr>
        <w:rPr>
          <w:sz w:val="8"/>
          <w:szCs w:val="8"/>
        </w:rPr>
      </w:pPr>
    </w:p>
    <w:p w:rsidR="00F61F4A" w:rsidRDefault="00F61F4A" w:rsidP="00F61F4A">
      <w:pPr>
        <w:jc w:val="both"/>
      </w:pPr>
    </w:p>
    <w:p w:rsidR="00F12FA6" w:rsidRDefault="00226018" w:rsidP="00BD3042">
      <w:pPr>
        <w:jc w:val="both"/>
        <w:rPr>
          <w:spacing w:val="-4"/>
        </w:rPr>
      </w:pPr>
      <w:r w:rsidRPr="00BD3042">
        <w:rPr>
          <w:spacing w:val="-4"/>
        </w:rPr>
        <w:t xml:space="preserve">This is your regular salary for being a teacher.  It should be your </w:t>
      </w:r>
      <w:r w:rsidR="007265D9">
        <w:rPr>
          <w:spacing w:val="-4"/>
        </w:rPr>
        <w:t>2018/2019</w:t>
      </w:r>
      <w:r w:rsidRPr="00BD3042">
        <w:rPr>
          <w:spacing w:val="-4"/>
        </w:rPr>
        <w:t xml:space="preserve"> salary divided by 22 or 26 depending on which payment plan you selected. </w:t>
      </w:r>
      <w:r w:rsidR="00CB24B2">
        <w:rPr>
          <w:spacing w:val="-4"/>
        </w:rPr>
        <w:t xml:space="preserve">Selecting 26 payments for the year results in a balloon check on the last pay date of the school year that has a gross salary amount that </w:t>
      </w:r>
      <w:r w:rsidR="00B964A1">
        <w:rPr>
          <w:spacing w:val="-4"/>
        </w:rPr>
        <w:t>is</w:t>
      </w:r>
      <w:r w:rsidR="00CB24B2">
        <w:rPr>
          <w:spacing w:val="-4"/>
        </w:rPr>
        <w:t xml:space="preserve"> exactly five times the gross salary of the earlier checks of that school year. </w:t>
      </w:r>
      <w:r w:rsidRPr="00BD3042">
        <w:rPr>
          <w:spacing w:val="-4"/>
        </w:rPr>
        <w:t xml:space="preserve">The following table is the </w:t>
      </w:r>
      <w:r w:rsidR="005B0508">
        <w:rPr>
          <w:spacing w:val="-4"/>
        </w:rPr>
        <w:t xml:space="preserve">2018/2019 </w:t>
      </w:r>
      <w:r w:rsidRPr="00BD3042">
        <w:rPr>
          <w:spacing w:val="-4"/>
        </w:rPr>
        <w:t xml:space="preserve">salary schedule. </w:t>
      </w:r>
    </w:p>
    <w:p w:rsidR="005B0508" w:rsidRDefault="005B0508" w:rsidP="00BD3042">
      <w:pPr>
        <w:jc w:val="both"/>
        <w:rPr>
          <w:spacing w:val="-4"/>
        </w:rPr>
      </w:pPr>
    </w:p>
    <w:p w:rsidR="005919D0" w:rsidRDefault="00AF5859" w:rsidP="00BD3042">
      <w:pPr>
        <w:jc w:val="both"/>
        <w:rPr>
          <w:spacing w:val="-4"/>
        </w:rPr>
      </w:pPr>
      <w:r>
        <w:rPr>
          <w:spacing w:val="-4"/>
        </w:rPr>
        <w:t>There will not be a step increase this school year. Instead the dollar values at each step are increased by 2% and the years of experien</w:t>
      </w:r>
      <w:r w:rsidR="00474C3B">
        <w:rPr>
          <w:spacing w:val="-4"/>
        </w:rPr>
        <w:t>ce adjusted appropriately. Note</w:t>
      </w:r>
      <w:r>
        <w:rPr>
          <w:spacing w:val="-4"/>
        </w:rPr>
        <w:t xml:space="preserve"> that the steps now have numeric</w:t>
      </w:r>
      <w:r w:rsidR="00474C3B">
        <w:rPr>
          <w:spacing w:val="-4"/>
        </w:rPr>
        <w:t>al labels (1,2,3…) replacing the</w:t>
      </w:r>
      <w:r>
        <w:rPr>
          <w:spacing w:val="-4"/>
        </w:rPr>
        <w:t xml:space="preserve"> previous letters (A,B,C…)</w:t>
      </w:r>
      <w:r w:rsidR="007140EC">
        <w:rPr>
          <w:spacing w:val="-4"/>
        </w:rPr>
        <w:t xml:space="preserve"> </w:t>
      </w:r>
    </w:p>
    <w:p w:rsidR="005919D0" w:rsidRDefault="005919D0" w:rsidP="00BD3042">
      <w:pPr>
        <w:jc w:val="both"/>
        <w:rPr>
          <w:spacing w:val="-4"/>
        </w:rPr>
      </w:pPr>
    </w:p>
    <w:p w:rsidR="00C40E77" w:rsidRDefault="00226018" w:rsidP="00BD3042">
      <w:pPr>
        <w:jc w:val="both"/>
        <w:rPr>
          <w:spacing w:val="-4"/>
        </w:rPr>
      </w:pPr>
      <w:r w:rsidRPr="00BD3042">
        <w:rPr>
          <w:spacing w:val="-4"/>
        </w:rPr>
        <w:t xml:space="preserve">Be sure to look up your salary based on completed years of experience at the start of this school year. </w:t>
      </w:r>
      <w:r w:rsidR="00CF388A" w:rsidRPr="00BD3042">
        <w:rPr>
          <w:spacing w:val="-4"/>
        </w:rPr>
        <w:t>Here a twist in the salary schedule t</w:t>
      </w:r>
      <w:r w:rsidR="00AF5859">
        <w:rPr>
          <w:spacing w:val="-4"/>
        </w:rPr>
        <w:t>hat has been in existence for 14</w:t>
      </w:r>
      <w:r w:rsidR="00CF388A" w:rsidRPr="00BD3042">
        <w:rPr>
          <w:spacing w:val="-4"/>
        </w:rPr>
        <w:t xml:space="preserve"> years enhances your salary.   </w:t>
      </w:r>
      <w:r w:rsidRPr="00BD3042">
        <w:rPr>
          <w:spacing w:val="-4"/>
        </w:rPr>
        <w:t>Note that the BA column and the advanced degree columns have different number of years of experience</w:t>
      </w:r>
      <w:r w:rsidR="00233A4D" w:rsidRPr="00BD3042">
        <w:rPr>
          <w:spacing w:val="-4"/>
        </w:rPr>
        <w:t xml:space="preserve"> </w:t>
      </w:r>
      <w:r w:rsidR="00CF388A" w:rsidRPr="00BD3042">
        <w:rPr>
          <w:spacing w:val="-4"/>
        </w:rPr>
        <w:t>for these years of experience</w:t>
      </w:r>
      <w:r w:rsidR="00D5637D" w:rsidRPr="00BD3042">
        <w:rPr>
          <w:spacing w:val="-4"/>
        </w:rPr>
        <w:t xml:space="preserve"> and newly achieved greater degree status</w:t>
      </w:r>
      <w:r w:rsidRPr="00BD3042">
        <w:rPr>
          <w:spacing w:val="-4"/>
        </w:rPr>
        <w:t xml:space="preserve">. The salary figure from the grid should agree with your individual contract you signed for this school year. </w:t>
      </w:r>
    </w:p>
    <w:p w:rsidR="00C40E77" w:rsidRDefault="00C40E77" w:rsidP="00BD3042">
      <w:pPr>
        <w:jc w:val="both"/>
        <w:rPr>
          <w:spacing w:val="-4"/>
        </w:rPr>
      </w:pPr>
    </w:p>
    <w:p w:rsidR="00DE0A33" w:rsidRDefault="00226018" w:rsidP="00BD3042">
      <w:pPr>
        <w:jc w:val="both"/>
        <w:rPr>
          <w:spacing w:val="-4"/>
        </w:rPr>
      </w:pPr>
      <w:r w:rsidRPr="00BD3042">
        <w:rPr>
          <w:spacing w:val="-4"/>
        </w:rPr>
        <w:t xml:space="preserve">Once you get the salary figure for the year you merely divide it by 22 or 26 and you should have the number that appears under “Amount” for this pay period. This should be accurate to within a penny (due to rounding). </w:t>
      </w:r>
    </w:p>
    <w:p w:rsidR="00DE0A33" w:rsidRDefault="00DE0A33" w:rsidP="00BD3042">
      <w:pPr>
        <w:jc w:val="both"/>
        <w:rPr>
          <w:spacing w:val="-4"/>
        </w:rPr>
      </w:pPr>
    </w:p>
    <w:p w:rsidR="00D446DF" w:rsidRDefault="00DE0A33" w:rsidP="00226018">
      <w:pPr>
        <w:jc w:val="both"/>
      </w:pPr>
      <w:r>
        <w:rPr>
          <w:spacing w:val="-4"/>
        </w:rPr>
        <w:t>Any teacher who has adva</w:t>
      </w:r>
      <w:r w:rsidR="00766A44">
        <w:rPr>
          <w:spacing w:val="-4"/>
        </w:rPr>
        <w:t xml:space="preserve">nced from the BA column while at HK </w:t>
      </w:r>
      <w:r w:rsidR="00A052B6">
        <w:rPr>
          <w:spacing w:val="-4"/>
        </w:rPr>
        <w:t>for</w:t>
      </w:r>
      <w:r w:rsidR="00766A44">
        <w:rPr>
          <w:spacing w:val="-4"/>
        </w:rPr>
        <w:t xml:space="preserve"> school year</w:t>
      </w:r>
      <w:r w:rsidR="00A052B6">
        <w:rPr>
          <w:spacing w:val="-4"/>
        </w:rPr>
        <w:t>s</w:t>
      </w:r>
      <w:r w:rsidR="00766A44">
        <w:rPr>
          <w:spacing w:val="-4"/>
        </w:rPr>
        <w:t xml:space="preserve"> 2006-07 to the present should triple check that their placement is consistent</w:t>
      </w:r>
      <w:r>
        <w:rPr>
          <w:spacing w:val="-4"/>
        </w:rPr>
        <w:t xml:space="preserve"> </w:t>
      </w:r>
      <w:r w:rsidR="00766A44">
        <w:rPr>
          <w:spacing w:val="-4"/>
        </w:rPr>
        <w:t>with the years of completed service to the right on the chart – those being the years of completed experience for all advanced degree status</w:t>
      </w:r>
      <w:r w:rsidR="007D1ADA">
        <w:rPr>
          <w:spacing w:val="-4"/>
        </w:rPr>
        <w:t>es</w:t>
      </w:r>
      <w:r w:rsidR="00766A44">
        <w:rPr>
          <w:spacing w:val="-4"/>
        </w:rPr>
        <w:t xml:space="preserve">. Any questions or concerns about such placements should be directed to me at </w:t>
      </w:r>
      <w:r w:rsidR="00474C3B">
        <w:t>jfdaniels@gmail.com or 860-543-2248</w:t>
      </w:r>
      <w:r w:rsidR="00766A44">
        <w:t>.</w:t>
      </w:r>
    </w:p>
    <w:p w:rsidR="00C2593A" w:rsidRDefault="00C2593A" w:rsidP="00226018">
      <w:pPr>
        <w:jc w:val="both"/>
      </w:pPr>
    </w:p>
    <w:p w:rsidR="00C2593A" w:rsidRDefault="00C2593A" w:rsidP="00226018">
      <w:pPr>
        <w:jc w:val="both"/>
      </w:pPr>
    </w:p>
    <w:p w:rsidR="00226018" w:rsidRDefault="00226018" w:rsidP="00226018">
      <w:pPr>
        <w:jc w:val="both"/>
        <w:rPr>
          <w:color w:val="FF0000"/>
          <w:spacing w:val="-4"/>
        </w:rPr>
      </w:pPr>
    </w:p>
    <w:p w:rsidR="00625588" w:rsidRPr="0015200C" w:rsidRDefault="00625588" w:rsidP="00226018">
      <w:pPr>
        <w:jc w:val="both"/>
        <w:rPr>
          <w:sz w:val="20"/>
          <w:szCs w:val="20"/>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070"/>
        <w:gridCol w:w="1330"/>
        <w:gridCol w:w="1330"/>
        <w:gridCol w:w="304"/>
        <w:gridCol w:w="1301"/>
        <w:gridCol w:w="1440"/>
        <w:gridCol w:w="1440"/>
        <w:gridCol w:w="1614"/>
      </w:tblGrid>
      <w:tr w:rsidR="00226018" w:rsidRPr="00226018" w:rsidTr="00226018">
        <w:tc>
          <w:tcPr>
            <w:tcW w:w="9829" w:type="dxa"/>
            <w:gridSpan w:val="8"/>
            <w:shd w:val="clear" w:color="auto" w:fill="CCCCCC"/>
          </w:tcPr>
          <w:p w:rsidR="00226018" w:rsidRPr="00226018" w:rsidRDefault="00AF5859" w:rsidP="00226018">
            <w:pPr>
              <w:ind w:right="90"/>
              <w:jc w:val="center"/>
              <w:rPr>
                <w:b/>
                <w:i/>
                <w:sz w:val="32"/>
                <w:szCs w:val="32"/>
                <w:u w:val="single"/>
              </w:rPr>
            </w:pPr>
            <w:r>
              <w:rPr>
                <w:b/>
                <w:i/>
                <w:sz w:val="32"/>
                <w:szCs w:val="32"/>
                <w:u w:val="single"/>
              </w:rPr>
              <w:t>2018</w:t>
            </w:r>
            <w:r w:rsidR="00C0185C">
              <w:rPr>
                <w:b/>
                <w:i/>
                <w:sz w:val="32"/>
                <w:szCs w:val="32"/>
                <w:u w:val="single"/>
              </w:rPr>
              <w:t>/20</w:t>
            </w:r>
            <w:r w:rsidR="00C72D62">
              <w:rPr>
                <w:b/>
                <w:i/>
                <w:sz w:val="32"/>
                <w:szCs w:val="32"/>
                <w:u w:val="single"/>
              </w:rPr>
              <w:t>1</w:t>
            </w:r>
            <w:r>
              <w:rPr>
                <w:b/>
                <w:i/>
                <w:sz w:val="32"/>
                <w:szCs w:val="32"/>
                <w:u w:val="single"/>
              </w:rPr>
              <w:t>9</w:t>
            </w:r>
            <w:r w:rsidR="00C0185C">
              <w:rPr>
                <w:b/>
                <w:i/>
                <w:sz w:val="32"/>
                <w:szCs w:val="32"/>
                <w:u w:val="single"/>
              </w:rPr>
              <w:t xml:space="preserve"> </w:t>
            </w:r>
            <w:r w:rsidR="00226018" w:rsidRPr="00226018">
              <w:rPr>
                <w:b/>
                <w:i/>
                <w:sz w:val="32"/>
                <w:szCs w:val="32"/>
                <w:u w:val="single"/>
              </w:rPr>
              <w:t xml:space="preserve"> SALARY SCHEDULE</w:t>
            </w:r>
          </w:p>
        </w:tc>
      </w:tr>
      <w:tr w:rsidR="00226018" w:rsidRPr="00226018" w:rsidTr="00226018">
        <w:tc>
          <w:tcPr>
            <w:tcW w:w="3730" w:type="dxa"/>
            <w:gridSpan w:val="3"/>
            <w:shd w:val="clear" w:color="auto" w:fill="CCCCCC"/>
          </w:tcPr>
          <w:p w:rsidR="00226018" w:rsidRPr="00226018" w:rsidRDefault="00226018" w:rsidP="00226018">
            <w:pPr>
              <w:ind w:right="90"/>
              <w:jc w:val="center"/>
              <w:rPr>
                <w:b/>
                <w:i/>
                <w:sz w:val="32"/>
                <w:szCs w:val="32"/>
                <w:u w:val="single"/>
              </w:rPr>
            </w:pPr>
            <w:r w:rsidRPr="00226018">
              <w:rPr>
                <w:b/>
                <w:i/>
                <w:sz w:val="32"/>
                <w:szCs w:val="32"/>
                <w:u w:val="single"/>
              </w:rPr>
              <w:t>Bachelor Degree</w:t>
            </w:r>
          </w:p>
        </w:tc>
        <w:tc>
          <w:tcPr>
            <w:tcW w:w="304" w:type="dxa"/>
            <w:shd w:val="clear" w:color="auto" w:fill="CCCCCC"/>
            <w:vAlign w:val="center"/>
          </w:tcPr>
          <w:p w:rsidR="00226018" w:rsidRPr="00226018" w:rsidRDefault="00226018" w:rsidP="00226018">
            <w:pPr>
              <w:ind w:right="90"/>
              <w:jc w:val="center"/>
              <w:rPr>
                <w:b/>
                <w:i/>
                <w:sz w:val="32"/>
                <w:szCs w:val="32"/>
                <w:u w:val="single"/>
              </w:rPr>
            </w:pPr>
          </w:p>
        </w:tc>
        <w:tc>
          <w:tcPr>
            <w:tcW w:w="5795" w:type="dxa"/>
            <w:gridSpan w:val="4"/>
            <w:shd w:val="clear" w:color="auto" w:fill="CCCCCC"/>
          </w:tcPr>
          <w:p w:rsidR="00226018" w:rsidRPr="00226018" w:rsidRDefault="00226018" w:rsidP="00226018">
            <w:pPr>
              <w:ind w:right="90"/>
              <w:jc w:val="center"/>
              <w:rPr>
                <w:b/>
                <w:i/>
                <w:sz w:val="32"/>
                <w:szCs w:val="32"/>
                <w:u w:val="single"/>
              </w:rPr>
            </w:pPr>
            <w:r w:rsidRPr="00226018">
              <w:rPr>
                <w:b/>
                <w:i/>
                <w:sz w:val="32"/>
                <w:szCs w:val="32"/>
                <w:u w:val="single"/>
              </w:rPr>
              <w:t xml:space="preserve">BA + 30, </w:t>
            </w:r>
            <w:smartTag w:uri="urn:schemas-microsoft-com:office:smarttags" w:element="place">
              <w:smartTag w:uri="urn:schemas-microsoft-com:office:smarttags" w:element="City">
                <w:r w:rsidRPr="00226018">
                  <w:rPr>
                    <w:b/>
                    <w:i/>
                    <w:sz w:val="32"/>
                    <w:szCs w:val="32"/>
                    <w:u w:val="single"/>
                  </w:rPr>
                  <w:t>MA</w:t>
                </w:r>
              </w:smartTag>
              <w:r w:rsidRPr="00226018">
                <w:rPr>
                  <w:b/>
                  <w:i/>
                  <w:sz w:val="32"/>
                  <w:szCs w:val="32"/>
                  <w:u w:val="single"/>
                </w:rPr>
                <w:t xml:space="preserve">, </w:t>
              </w:r>
              <w:smartTag w:uri="urn:schemas-microsoft-com:office:smarttags" w:element="State">
                <w:r w:rsidRPr="00226018">
                  <w:rPr>
                    <w:b/>
                    <w:i/>
                    <w:sz w:val="32"/>
                    <w:szCs w:val="32"/>
                    <w:u w:val="single"/>
                  </w:rPr>
                  <w:t>MA</w:t>
                </w:r>
              </w:smartTag>
            </w:smartTag>
            <w:r w:rsidRPr="00226018">
              <w:rPr>
                <w:b/>
                <w:i/>
                <w:sz w:val="32"/>
                <w:szCs w:val="32"/>
                <w:u w:val="single"/>
              </w:rPr>
              <w:t xml:space="preserve"> + 30 Degree</w:t>
            </w:r>
          </w:p>
        </w:tc>
      </w:tr>
      <w:tr w:rsidR="00226018" w:rsidRPr="00226018" w:rsidTr="00CC44EC">
        <w:tc>
          <w:tcPr>
            <w:tcW w:w="107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Step</w:t>
            </w:r>
          </w:p>
        </w:tc>
        <w:tc>
          <w:tcPr>
            <w:tcW w:w="1330" w:type="dxa"/>
          </w:tcPr>
          <w:p w:rsidR="00226018" w:rsidRPr="00226018" w:rsidRDefault="00226018" w:rsidP="00226018">
            <w:pPr>
              <w:ind w:right="90"/>
              <w:jc w:val="center"/>
              <w:rPr>
                <w:b/>
                <w:sz w:val="20"/>
                <w:szCs w:val="20"/>
              </w:rPr>
            </w:pPr>
            <w:r w:rsidRPr="00226018">
              <w:rPr>
                <w:b/>
                <w:sz w:val="20"/>
                <w:szCs w:val="20"/>
              </w:rPr>
              <w:t>Completed Years of Experience as of</w:t>
            </w:r>
            <w:r>
              <w:rPr>
                <w:b/>
                <w:sz w:val="20"/>
                <w:szCs w:val="20"/>
              </w:rPr>
              <w:t xml:space="preserve"> 9/1/1</w:t>
            </w:r>
            <w:r w:rsidR="00474C3B">
              <w:rPr>
                <w:b/>
                <w:sz w:val="20"/>
                <w:szCs w:val="20"/>
              </w:rPr>
              <w:t>8</w:t>
            </w:r>
          </w:p>
        </w:tc>
        <w:tc>
          <w:tcPr>
            <w:tcW w:w="133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Bachelor</w:t>
            </w:r>
          </w:p>
        </w:tc>
        <w:tc>
          <w:tcPr>
            <w:tcW w:w="304" w:type="dxa"/>
            <w:shd w:val="clear" w:color="auto" w:fill="CCCCCC"/>
            <w:vAlign w:val="center"/>
          </w:tcPr>
          <w:p w:rsidR="00226018" w:rsidRPr="00226018" w:rsidRDefault="00226018" w:rsidP="00226018">
            <w:pPr>
              <w:ind w:right="90"/>
              <w:jc w:val="center"/>
              <w:rPr>
                <w:b/>
                <w:sz w:val="20"/>
                <w:szCs w:val="20"/>
              </w:rPr>
            </w:pPr>
          </w:p>
        </w:tc>
        <w:tc>
          <w:tcPr>
            <w:tcW w:w="1301" w:type="dxa"/>
          </w:tcPr>
          <w:p w:rsidR="00226018" w:rsidRPr="00226018" w:rsidRDefault="00226018" w:rsidP="00226018">
            <w:pPr>
              <w:ind w:right="90"/>
              <w:jc w:val="center"/>
              <w:rPr>
                <w:b/>
                <w:sz w:val="20"/>
                <w:szCs w:val="20"/>
              </w:rPr>
            </w:pPr>
            <w:r w:rsidRPr="00226018">
              <w:rPr>
                <w:b/>
                <w:sz w:val="20"/>
                <w:szCs w:val="20"/>
              </w:rPr>
              <w:t>Completed Years of Experience as of 9/1/</w:t>
            </w:r>
            <w:r>
              <w:rPr>
                <w:b/>
                <w:sz w:val="20"/>
                <w:szCs w:val="20"/>
              </w:rPr>
              <w:t>1</w:t>
            </w:r>
            <w:r w:rsidR="00474C3B">
              <w:rPr>
                <w:b/>
                <w:sz w:val="20"/>
                <w:szCs w:val="20"/>
              </w:rPr>
              <w:t>8</w:t>
            </w:r>
          </w:p>
        </w:tc>
        <w:tc>
          <w:tcPr>
            <w:tcW w:w="144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 xml:space="preserve">Bachelor </w:t>
            </w:r>
          </w:p>
          <w:p w:rsidR="00226018" w:rsidRPr="00226018" w:rsidRDefault="00226018" w:rsidP="00226018">
            <w:pPr>
              <w:ind w:right="90"/>
              <w:jc w:val="center"/>
              <w:rPr>
                <w:b/>
                <w:sz w:val="20"/>
                <w:szCs w:val="20"/>
              </w:rPr>
            </w:pPr>
            <w:r w:rsidRPr="00226018">
              <w:rPr>
                <w:b/>
                <w:sz w:val="20"/>
                <w:szCs w:val="20"/>
              </w:rPr>
              <w:t>+ 30</w:t>
            </w:r>
          </w:p>
        </w:tc>
        <w:tc>
          <w:tcPr>
            <w:tcW w:w="1440"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Master’s</w:t>
            </w:r>
          </w:p>
        </w:tc>
        <w:tc>
          <w:tcPr>
            <w:tcW w:w="1614" w:type="dxa"/>
          </w:tcPr>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p>
          <w:p w:rsidR="00226018" w:rsidRPr="00226018" w:rsidRDefault="00226018" w:rsidP="00226018">
            <w:pPr>
              <w:ind w:right="90"/>
              <w:jc w:val="center"/>
              <w:rPr>
                <w:b/>
                <w:sz w:val="20"/>
                <w:szCs w:val="20"/>
              </w:rPr>
            </w:pPr>
            <w:r w:rsidRPr="00226018">
              <w:rPr>
                <w:b/>
                <w:sz w:val="20"/>
                <w:szCs w:val="20"/>
              </w:rPr>
              <w:t xml:space="preserve">Master’s </w:t>
            </w:r>
          </w:p>
          <w:p w:rsidR="00226018" w:rsidRPr="00226018" w:rsidRDefault="00226018" w:rsidP="00226018">
            <w:pPr>
              <w:ind w:right="90"/>
              <w:jc w:val="center"/>
              <w:rPr>
                <w:b/>
                <w:sz w:val="20"/>
                <w:szCs w:val="20"/>
              </w:rPr>
            </w:pPr>
            <w:r w:rsidRPr="00226018">
              <w:rPr>
                <w:b/>
                <w:sz w:val="20"/>
                <w:szCs w:val="20"/>
              </w:rPr>
              <w:t>+ 30</w:t>
            </w:r>
          </w:p>
        </w:tc>
      </w:tr>
      <w:tr w:rsidR="008D475C" w:rsidRPr="00226018" w:rsidTr="00BC0232">
        <w:trPr>
          <w:trHeight w:val="360"/>
        </w:trPr>
        <w:tc>
          <w:tcPr>
            <w:tcW w:w="1070" w:type="dxa"/>
            <w:vAlign w:val="center"/>
          </w:tcPr>
          <w:p w:rsidR="008D475C" w:rsidRPr="00226018" w:rsidRDefault="008D475C" w:rsidP="00226018">
            <w:pPr>
              <w:ind w:right="90"/>
              <w:jc w:val="center"/>
              <w:rPr>
                <w:sz w:val="20"/>
                <w:szCs w:val="20"/>
              </w:rPr>
            </w:pPr>
            <w:r>
              <w:rPr>
                <w:sz w:val="20"/>
                <w:szCs w:val="20"/>
              </w:rPr>
              <w:t>1</w:t>
            </w:r>
          </w:p>
        </w:tc>
        <w:tc>
          <w:tcPr>
            <w:tcW w:w="1330" w:type="dxa"/>
            <w:vAlign w:val="bottom"/>
          </w:tcPr>
          <w:p w:rsidR="008D475C" w:rsidRPr="00C72D62" w:rsidRDefault="008D475C" w:rsidP="00CC3785">
            <w:pPr>
              <w:jc w:val="center"/>
              <w:rPr>
                <w:sz w:val="20"/>
                <w:szCs w:val="20"/>
              </w:rPr>
            </w:pPr>
            <w:r>
              <w:rPr>
                <w:sz w:val="20"/>
                <w:szCs w:val="20"/>
              </w:rPr>
              <w:t>0-1</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49</w:t>
            </w:r>
            <w:r>
              <w:rPr>
                <w:sz w:val="20"/>
                <w:szCs w:val="20"/>
              </w:rPr>
              <w:t>,</w:t>
            </w:r>
            <w:r w:rsidR="008D475C">
              <w:rPr>
                <w:sz w:val="20"/>
                <w:szCs w:val="20"/>
              </w:rPr>
              <w:t>041</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0-1</w:t>
            </w:r>
          </w:p>
        </w:tc>
        <w:tc>
          <w:tcPr>
            <w:tcW w:w="1440" w:type="dxa"/>
            <w:vAlign w:val="center"/>
          </w:tcPr>
          <w:p w:rsidR="008D475C" w:rsidRPr="00C72D62" w:rsidRDefault="00122483" w:rsidP="00BC0232">
            <w:pPr>
              <w:jc w:val="center"/>
              <w:rPr>
                <w:sz w:val="20"/>
                <w:szCs w:val="20"/>
              </w:rPr>
            </w:pPr>
            <m:oMathPara>
              <m:oMath>
                <m:r>
                  <w:rPr>
                    <w:rFonts w:ascii="Cambria Math" w:hAnsi="Cambria Math"/>
                    <w:sz w:val="20"/>
                    <w:szCs w:val="20"/>
                  </w:rPr>
                  <m:t>$49,984</m:t>
                </m:r>
              </m:oMath>
            </m:oMathPara>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50</w:t>
            </w:r>
            <w:r>
              <w:rPr>
                <w:sz w:val="20"/>
                <w:szCs w:val="20"/>
              </w:rPr>
              <w:t>,</w:t>
            </w:r>
            <w:r w:rsidR="008D475C">
              <w:rPr>
                <w:sz w:val="20"/>
                <w:szCs w:val="20"/>
              </w:rPr>
              <w:t>467</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53</w:t>
            </w:r>
            <w:r>
              <w:rPr>
                <w:sz w:val="20"/>
                <w:szCs w:val="20"/>
              </w:rPr>
              <w:t>,</w:t>
            </w:r>
            <w:r w:rsidR="00BC0232">
              <w:rPr>
                <w:sz w:val="20"/>
                <w:szCs w:val="20"/>
              </w:rPr>
              <w:t>152</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2</w:t>
            </w:r>
          </w:p>
        </w:tc>
        <w:tc>
          <w:tcPr>
            <w:tcW w:w="1330" w:type="dxa"/>
            <w:vAlign w:val="bottom"/>
          </w:tcPr>
          <w:p w:rsidR="008D475C" w:rsidRPr="00C72D62" w:rsidRDefault="008D475C" w:rsidP="00CC3785">
            <w:pPr>
              <w:jc w:val="center"/>
              <w:rPr>
                <w:sz w:val="20"/>
                <w:szCs w:val="20"/>
              </w:rPr>
            </w:pPr>
            <w:r>
              <w:rPr>
                <w:sz w:val="20"/>
                <w:szCs w:val="20"/>
              </w:rPr>
              <w:t>2-4</w:t>
            </w:r>
          </w:p>
        </w:tc>
        <w:tc>
          <w:tcPr>
            <w:tcW w:w="1330" w:type="dxa"/>
            <w:vAlign w:val="bottom"/>
          </w:tcPr>
          <w:p w:rsidR="008D475C" w:rsidRPr="00C72D62" w:rsidRDefault="00122483" w:rsidP="00CC3785">
            <w:pPr>
              <w:jc w:val="center"/>
              <w:rPr>
                <w:sz w:val="20"/>
                <w:szCs w:val="20"/>
              </w:rPr>
            </w:pPr>
            <w:r>
              <w:rPr>
                <w:sz w:val="20"/>
                <w:szCs w:val="20"/>
              </w:rPr>
              <w:t>$51,1</w:t>
            </w:r>
            <w:r w:rsidR="008D475C">
              <w:rPr>
                <w:sz w:val="20"/>
                <w:szCs w:val="20"/>
              </w:rPr>
              <w:t>35</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2-4</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52</w:t>
            </w:r>
            <w:r>
              <w:rPr>
                <w:sz w:val="20"/>
                <w:szCs w:val="20"/>
              </w:rPr>
              <w:t>,</w:t>
            </w:r>
            <w:r w:rsidR="008D475C">
              <w:rPr>
                <w:sz w:val="20"/>
                <w:szCs w:val="20"/>
              </w:rPr>
              <w:t>517</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53</w:t>
            </w:r>
            <w:r>
              <w:rPr>
                <w:sz w:val="20"/>
                <w:szCs w:val="20"/>
              </w:rPr>
              <w:t>,</w:t>
            </w:r>
            <w:r w:rsidR="008D475C">
              <w:rPr>
                <w:sz w:val="20"/>
                <w:szCs w:val="20"/>
              </w:rPr>
              <w:t>052</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55</w:t>
            </w:r>
            <w:r>
              <w:rPr>
                <w:sz w:val="20"/>
                <w:szCs w:val="20"/>
              </w:rPr>
              <w:t>,</w:t>
            </w:r>
            <w:r w:rsidR="00BC0232">
              <w:rPr>
                <w:sz w:val="20"/>
                <w:szCs w:val="20"/>
              </w:rPr>
              <w:t>886</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3</w:t>
            </w:r>
          </w:p>
        </w:tc>
        <w:tc>
          <w:tcPr>
            <w:tcW w:w="1330" w:type="dxa"/>
            <w:vAlign w:val="bottom"/>
          </w:tcPr>
          <w:p w:rsidR="008D475C" w:rsidRPr="00C72D62" w:rsidRDefault="008D475C" w:rsidP="00CC3785">
            <w:pPr>
              <w:jc w:val="center"/>
              <w:rPr>
                <w:sz w:val="20"/>
                <w:szCs w:val="20"/>
              </w:rPr>
            </w:pPr>
            <w:r>
              <w:rPr>
                <w:sz w:val="20"/>
                <w:szCs w:val="20"/>
              </w:rPr>
              <w:t>5-8</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53</w:t>
            </w:r>
            <w:r>
              <w:rPr>
                <w:sz w:val="20"/>
                <w:szCs w:val="20"/>
              </w:rPr>
              <w:t>,</w:t>
            </w:r>
            <w:r w:rsidR="008D475C">
              <w:rPr>
                <w:sz w:val="20"/>
                <w:szCs w:val="20"/>
              </w:rPr>
              <w:t>474</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5-8</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55</w:t>
            </w:r>
            <w:r>
              <w:rPr>
                <w:sz w:val="20"/>
                <w:szCs w:val="20"/>
              </w:rPr>
              <w:t>,</w:t>
            </w:r>
            <w:r w:rsidR="008D475C">
              <w:rPr>
                <w:sz w:val="20"/>
                <w:szCs w:val="20"/>
              </w:rPr>
              <w:t>345</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55</w:t>
            </w:r>
            <w:r>
              <w:rPr>
                <w:sz w:val="20"/>
                <w:szCs w:val="20"/>
              </w:rPr>
              <w:t>,</w:t>
            </w:r>
            <w:r w:rsidR="008D475C">
              <w:rPr>
                <w:sz w:val="20"/>
                <w:szCs w:val="20"/>
              </w:rPr>
              <w:t>941</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58</w:t>
            </w:r>
            <w:r>
              <w:rPr>
                <w:sz w:val="20"/>
                <w:szCs w:val="20"/>
              </w:rPr>
              <w:t>,</w:t>
            </w:r>
            <w:r w:rsidR="00BC0232">
              <w:rPr>
                <w:sz w:val="20"/>
                <w:szCs w:val="20"/>
              </w:rPr>
              <w:t>946</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4</w:t>
            </w:r>
          </w:p>
        </w:tc>
        <w:tc>
          <w:tcPr>
            <w:tcW w:w="1330" w:type="dxa"/>
            <w:vAlign w:val="bottom"/>
          </w:tcPr>
          <w:p w:rsidR="008D475C" w:rsidRPr="00C72D62" w:rsidRDefault="008D475C" w:rsidP="00CC3785">
            <w:pPr>
              <w:jc w:val="center"/>
              <w:rPr>
                <w:sz w:val="20"/>
                <w:szCs w:val="20"/>
              </w:rPr>
            </w:pPr>
            <w:r>
              <w:rPr>
                <w:sz w:val="20"/>
                <w:szCs w:val="20"/>
              </w:rPr>
              <w:t>9-10</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56</w:t>
            </w:r>
            <w:r>
              <w:rPr>
                <w:sz w:val="20"/>
                <w:szCs w:val="20"/>
              </w:rPr>
              <w:t>,</w:t>
            </w:r>
            <w:r w:rsidR="008D475C">
              <w:rPr>
                <w:sz w:val="20"/>
                <w:szCs w:val="20"/>
              </w:rPr>
              <w:t>578</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9-10</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58</w:t>
            </w:r>
            <w:r>
              <w:rPr>
                <w:sz w:val="20"/>
                <w:szCs w:val="20"/>
              </w:rPr>
              <w:t>,</w:t>
            </w:r>
            <w:r w:rsidR="008D475C">
              <w:rPr>
                <w:sz w:val="20"/>
                <w:szCs w:val="20"/>
              </w:rPr>
              <w:t>621</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59</w:t>
            </w:r>
            <w:r>
              <w:rPr>
                <w:sz w:val="20"/>
                <w:szCs w:val="20"/>
              </w:rPr>
              <w:t>,</w:t>
            </w:r>
            <w:r w:rsidR="008D475C">
              <w:rPr>
                <w:sz w:val="20"/>
                <w:szCs w:val="20"/>
              </w:rPr>
              <w:t>283</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62</w:t>
            </w:r>
            <w:r>
              <w:rPr>
                <w:sz w:val="20"/>
                <w:szCs w:val="20"/>
              </w:rPr>
              <w:t>,</w:t>
            </w:r>
            <w:r w:rsidR="00BC0232">
              <w:rPr>
                <w:sz w:val="20"/>
                <w:szCs w:val="20"/>
              </w:rPr>
              <w:t>469</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5</w:t>
            </w:r>
          </w:p>
        </w:tc>
        <w:tc>
          <w:tcPr>
            <w:tcW w:w="1330" w:type="dxa"/>
            <w:vAlign w:val="bottom"/>
          </w:tcPr>
          <w:p w:rsidR="008D475C" w:rsidRPr="00C72D62" w:rsidRDefault="008D475C" w:rsidP="00CC3785">
            <w:pPr>
              <w:jc w:val="center"/>
              <w:rPr>
                <w:sz w:val="20"/>
                <w:szCs w:val="20"/>
              </w:rPr>
            </w:pPr>
            <w:r>
              <w:rPr>
                <w:sz w:val="20"/>
                <w:szCs w:val="20"/>
              </w:rPr>
              <w:t>11</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59</w:t>
            </w:r>
            <w:r>
              <w:rPr>
                <w:sz w:val="20"/>
                <w:szCs w:val="20"/>
              </w:rPr>
              <w:t>,</w:t>
            </w:r>
            <w:r w:rsidR="008D475C">
              <w:rPr>
                <w:sz w:val="20"/>
                <w:szCs w:val="20"/>
              </w:rPr>
              <w:t>002</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11</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61</w:t>
            </w:r>
            <w:r>
              <w:rPr>
                <w:sz w:val="20"/>
                <w:szCs w:val="20"/>
              </w:rPr>
              <w:t>,</w:t>
            </w:r>
            <w:r w:rsidR="008D475C">
              <w:rPr>
                <w:sz w:val="20"/>
                <w:szCs w:val="20"/>
              </w:rPr>
              <w:t>998</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62</w:t>
            </w:r>
            <w:r>
              <w:rPr>
                <w:sz w:val="20"/>
                <w:szCs w:val="20"/>
              </w:rPr>
              <w:t>,</w:t>
            </w:r>
            <w:r w:rsidR="008D475C">
              <w:rPr>
                <w:sz w:val="20"/>
                <w:szCs w:val="20"/>
              </w:rPr>
              <w:t>728</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66</w:t>
            </w:r>
            <w:r>
              <w:rPr>
                <w:sz w:val="20"/>
                <w:szCs w:val="20"/>
              </w:rPr>
              <w:t>,</w:t>
            </w:r>
            <w:r w:rsidR="00BC0232">
              <w:rPr>
                <w:sz w:val="20"/>
                <w:szCs w:val="20"/>
              </w:rPr>
              <w:t>107</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6</w:t>
            </w:r>
          </w:p>
        </w:tc>
        <w:tc>
          <w:tcPr>
            <w:tcW w:w="1330" w:type="dxa"/>
            <w:vAlign w:val="bottom"/>
          </w:tcPr>
          <w:p w:rsidR="008D475C" w:rsidRPr="00C72D62" w:rsidRDefault="008D475C" w:rsidP="00CC3785">
            <w:pPr>
              <w:jc w:val="center"/>
              <w:rPr>
                <w:sz w:val="20"/>
                <w:szCs w:val="20"/>
              </w:rPr>
            </w:pPr>
            <w:r>
              <w:rPr>
                <w:sz w:val="20"/>
                <w:szCs w:val="20"/>
              </w:rPr>
              <w:t>12-14</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61</w:t>
            </w:r>
            <w:r>
              <w:rPr>
                <w:sz w:val="20"/>
                <w:szCs w:val="20"/>
              </w:rPr>
              <w:t>,</w:t>
            </w:r>
            <w:r w:rsidR="008D475C">
              <w:rPr>
                <w:sz w:val="20"/>
                <w:szCs w:val="20"/>
              </w:rPr>
              <w:t>845</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12-13</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65</w:t>
            </w:r>
            <w:r>
              <w:rPr>
                <w:sz w:val="20"/>
                <w:szCs w:val="20"/>
              </w:rPr>
              <w:t>,</w:t>
            </w:r>
            <w:r w:rsidR="008D475C">
              <w:rPr>
                <w:sz w:val="20"/>
                <w:szCs w:val="20"/>
              </w:rPr>
              <w:t>479</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66</w:t>
            </w:r>
            <w:r>
              <w:rPr>
                <w:sz w:val="20"/>
                <w:szCs w:val="20"/>
              </w:rPr>
              <w:t>,</w:t>
            </w:r>
            <w:r w:rsidR="008D475C">
              <w:rPr>
                <w:sz w:val="20"/>
                <w:szCs w:val="20"/>
              </w:rPr>
              <w:t>286</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69</w:t>
            </w:r>
            <w:r>
              <w:rPr>
                <w:sz w:val="20"/>
                <w:szCs w:val="20"/>
              </w:rPr>
              <w:t>,</w:t>
            </w:r>
            <w:r w:rsidR="00BC0232">
              <w:rPr>
                <w:sz w:val="20"/>
                <w:szCs w:val="20"/>
              </w:rPr>
              <w:t>868</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7</w:t>
            </w:r>
          </w:p>
        </w:tc>
        <w:tc>
          <w:tcPr>
            <w:tcW w:w="1330" w:type="dxa"/>
            <w:vAlign w:val="bottom"/>
          </w:tcPr>
          <w:p w:rsidR="008D475C" w:rsidRPr="00C72D62" w:rsidRDefault="008D475C" w:rsidP="00CC3785">
            <w:pPr>
              <w:jc w:val="center"/>
              <w:rPr>
                <w:sz w:val="20"/>
                <w:szCs w:val="20"/>
              </w:rPr>
            </w:pPr>
            <w:r>
              <w:rPr>
                <w:sz w:val="20"/>
                <w:szCs w:val="20"/>
              </w:rPr>
              <w:t>15-16</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64</w:t>
            </w:r>
            <w:r>
              <w:rPr>
                <w:sz w:val="20"/>
                <w:szCs w:val="20"/>
              </w:rPr>
              <w:t>,</w:t>
            </w:r>
            <w:r w:rsidR="008D475C">
              <w:rPr>
                <w:sz w:val="20"/>
                <w:szCs w:val="20"/>
              </w:rPr>
              <w:t>987</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14</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69</w:t>
            </w:r>
            <w:r>
              <w:rPr>
                <w:sz w:val="20"/>
                <w:szCs w:val="20"/>
              </w:rPr>
              <w:t>,</w:t>
            </w:r>
            <w:r w:rsidR="008D475C">
              <w:rPr>
                <w:sz w:val="20"/>
                <w:szCs w:val="20"/>
              </w:rPr>
              <w:t>322</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70</w:t>
            </w:r>
            <w:r>
              <w:rPr>
                <w:sz w:val="20"/>
                <w:szCs w:val="20"/>
              </w:rPr>
              <w:t>,</w:t>
            </w:r>
            <w:r w:rsidR="008D475C">
              <w:rPr>
                <w:sz w:val="20"/>
                <w:szCs w:val="20"/>
              </w:rPr>
              <w:t>211</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74</w:t>
            </w:r>
            <w:r>
              <w:rPr>
                <w:sz w:val="20"/>
                <w:szCs w:val="20"/>
              </w:rPr>
              <w:t>,</w:t>
            </w:r>
            <w:r w:rsidR="00BC0232">
              <w:rPr>
                <w:sz w:val="20"/>
                <w:szCs w:val="20"/>
              </w:rPr>
              <w:t>058</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8</w:t>
            </w:r>
          </w:p>
        </w:tc>
        <w:tc>
          <w:tcPr>
            <w:tcW w:w="1330" w:type="dxa"/>
            <w:vAlign w:val="bottom"/>
          </w:tcPr>
          <w:p w:rsidR="008D475C" w:rsidRPr="00C72D62" w:rsidRDefault="008D475C" w:rsidP="00CC3785">
            <w:pPr>
              <w:jc w:val="center"/>
              <w:rPr>
                <w:sz w:val="20"/>
                <w:szCs w:val="20"/>
              </w:rPr>
            </w:pPr>
            <w:r>
              <w:rPr>
                <w:sz w:val="20"/>
                <w:szCs w:val="20"/>
              </w:rPr>
              <w:t>17</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67</w:t>
            </w:r>
            <w:r>
              <w:rPr>
                <w:sz w:val="20"/>
                <w:szCs w:val="20"/>
              </w:rPr>
              <w:t>,</w:t>
            </w:r>
            <w:r w:rsidR="008D475C">
              <w:rPr>
                <w:sz w:val="20"/>
                <w:szCs w:val="20"/>
              </w:rPr>
              <w:t>850</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15-16</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73</w:t>
            </w:r>
            <w:r>
              <w:rPr>
                <w:sz w:val="20"/>
                <w:szCs w:val="20"/>
              </w:rPr>
              <w:t>,</w:t>
            </w:r>
            <w:r w:rsidR="008D475C">
              <w:rPr>
                <w:sz w:val="20"/>
                <w:szCs w:val="20"/>
              </w:rPr>
              <w:t>096</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73</w:t>
            </w:r>
            <w:r>
              <w:rPr>
                <w:sz w:val="20"/>
                <w:szCs w:val="20"/>
              </w:rPr>
              <w:t>,</w:t>
            </w:r>
            <w:r w:rsidR="008D475C">
              <w:rPr>
                <w:sz w:val="20"/>
                <w:szCs w:val="20"/>
              </w:rPr>
              <w:t>998</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78</w:t>
            </w:r>
            <w:r>
              <w:rPr>
                <w:sz w:val="20"/>
                <w:szCs w:val="20"/>
              </w:rPr>
              <w:t>,</w:t>
            </w:r>
            <w:r w:rsidR="00BC0232">
              <w:rPr>
                <w:sz w:val="20"/>
                <w:szCs w:val="20"/>
              </w:rPr>
              <w:t>319</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9</w:t>
            </w:r>
          </w:p>
        </w:tc>
        <w:tc>
          <w:tcPr>
            <w:tcW w:w="1330" w:type="dxa"/>
            <w:vAlign w:val="bottom"/>
          </w:tcPr>
          <w:p w:rsidR="008D475C" w:rsidRPr="00C72D62" w:rsidRDefault="008D475C" w:rsidP="00CC3785">
            <w:pPr>
              <w:jc w:val="center"/>
              <w:rPr>
                <w:sz w:val="20"/>
                <w:szCs w:val="20"/>
              </w:rPr>
            </w:pPr>
            <w:r>
              <w:rPr>
                <w:sz w:val="20"/>
                <w:szCs w:val="20"/>
              </w:rPr>
              <w:t>18-19</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71</w:t>
            </w:r>
            <w:r>
              <w:rPr>
                <w:sz w:val="20"/>
                <w:szCs w:val="20"/>
              </w:rPr>
              <w:t>,</w:t>
            </w:r>
            <w:r w:rsidR="008D475C">
              <w:rPr>
                <w:sz w:val="20"/>
                <w:szCs w:val="20"/>
              </w:rPr>
              <w:t>250</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17</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77</w:t>
            </w:r>
            <w:r>
              <w:rPr>
                <w:sz w:val="20"/>
                <w:szCs w:val="20"/>
              </w:rPr>
              <w:t>,</w:t>
            </w:r>
            <w:r w:rsidR="008D475C">
              <w:rPr>
                <w:sz w:val="20"/>
                <w:szCs w:val="20"/>
              </w:rPr>
              <w:t>356</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78</w:t>
            </w:r>
            <w:r>
              <w:rPr>
                <w:sz w:val="20"/>
                <w:szCs w:val="20"/>
              </w:rPr>
              <w:t>,</w:t>
            </w:r>
            <w:r w:rsidR="008D475C">
              <w:rPr>
                <w:sz w:val="20"/>
                <w:szCs w:val="20"/>
              </w:rPr>
              <w:t>391</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82</w:t>
            </w:r>
            <w:r>
              <w:rPr>
                <w:sz w:val="20"/>
                <w:szCs w:val="20"/>
              </w:rPr>
              <w:t>,</w:t>
            </w:r>
            <w:r w:rsidR="00BC0232">
              <w:rPr>
                <w:sz w:val="20"/>
                <w:szCs w:val="20"/>
              </w:rPr>
              <w:t>999</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10</w:t>
            </w:r>
          </w:p>
        </w:tc>
        <w:tc>
          <w:tcPr>
            <w:tcW w:w="1330" w:type="dxa"/>
            <w:vAlign w:val="bottom"/>
          </w:tcPr>
          <w:p w:rsidR="008D475C" w:rsidRPr="00C72D62" w:rsidRDefault="008D475C" w:rsidP="00CC3785">
            <w:pPr>
              <w:jc w:val="center"/>
              <w:rPr>
                <w:sz w:val="20"/>
                <w:szCs w:val="20"/>
              </w:rPr>
            </w:pPr>
            <w:r>
              <w:rPr>
                <w:sz w:val="20"/>
                <w:szCs w:val="20"/>
              </w:rPr>
              <w:t>20</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74</w:t>
            </w:r>
            <w:r>
              <w:rPr>
                <w:sz w:val="20"/>
                <w:szCs w:val="20"/>
              </w:rPr>
              <w:t>,</w:t>
            </w:r>
            <w:r w:rsidR="008D475C">
              <w:rPr>
                <w:sz w:val="20"/>
                <w:szCs w:val="20"/>
              </w:rPr>
              <w:t>968</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18-19</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81</w:t>
            </w:r>
            <w:r>
              <w:rPr>
                <w:sz w:val="20"/>
                <w:szCs w:val="20"/>
              </w:rPr>
              <w:t>,</w:t>
            </w:r>
            <w:r w:rsidR="008D475C">
              <w:rPr>
                <w:sz w:val="20"/>
                <w:szCs w:val="20"/>
              </w:rPr>
              <w:t>911</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83</w:t>
            </w:r>
            <w:r>
              <w:rPr>
                <w:sz w:val="20"/>
                <w:szCs w:val="20"/>
              </w:rPr>
              <w:t>,</w:t>
            </w:r>
            <w:r w:rsidR="008D475C">
              <w:rPr>
                <w:sz w:val="20"/>
                <w:szCs w:val="20"/>
              </w:rPr>
              <w:t>028</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87</w:t>
            </w:r>
            <w:r>
              <w:rPr>
                <w:sz w:val="20"/>
                <w:szCs w:val="20"/>
              </w:rPr>
              <w:t>,</w:t>
            </w:r>
            <w:r w:rsidR="00BC0232">
              <w:rPr>
                <w:sz w:val="20"/>
                <w:szCs w:val="20"/>
              </w:rPr>
              <w:t>776</w:t>
            </w:r>
          </w:p>
        </w:tc>
      </w:tr>
      <w:tr w:rsidR="008D475C" w:rsidRPr="00226018" w:rsidTr="00625588">
        <w:trPr>
          <w:trHeight w:val="360"/>
        </w:trPr>
        <w:tc>
          <w:tcPr>
            <w:tcW w:w="1070" w:type="dxa"/>
            <w:vAlign w:val="center"/>
          </w:tcPr>
          <w:p w:rsidR="008D475C" w:rsidRPr="00226018" w:rsidRDefault="008D475C" w:rsidP="00226018">
            <w:pPr>
              <w:ind w:right="90"/>
              <w:jc w:val="center"/>
              <w:rPr>
                <w:sz w:val="20"/>
                <w:szCs w:val="20"/>
              </w:rPr>
            </w:pPr>
            <w:r>
              <w:rPr>
                <w:sz w:val="20"/>
                <w:szCs w:val="20"/>
              </w:rPr>
              <w:t>11</w:t>
            </w:r>
          </w:p>
        </w:tc>
        <w:tc>
          <w:tcPr>
            <w:tcW w:w="1330" w:type="dxa"/>
            <w:vAlign w:val="bottom"/>
          </w:tcPr>
          <w:p w:rsidR="008D475C" w:rsidRPr="00C72D62" w:rsidRDefault="008D475C" w:rsidP="00CC3785">
            <w:pPr>
              <w:jc w:val="center"/>
              <w:rPr>
                <w:sz w:val="20"/>
                <w:szCs w:val="20"/>
              </w:rPr>
            </w:pPr>
            <w:r>
              <w:rPr>
                <w:sz w:val="20"/>
                <w:szCs w:val="20"/>
              </w:rPr>
              <w:t>21+</w:t>
            </w:r>
          </w:p>
        </w:tc>
        <w:tc>
          <w:tcPr>
            <w:tcW w:w="1330" w:type="dxa"/>
            <w:vAlign w:val="bottom"/>
          </w:tcPr>
          <w:p w:rsidR="008D475C" w:rsidRPr="00C72D62" w:rsidRDefault="00122483" w:rsidP="00CC3785">
            <w:pPr>
              <w:jc w:val="center"/>
              <w:rPr>
                <w:sz w:val="20"/>
                <w:szCs w:val="20"/>
              </w:rPr>
            </w:pPr>
            <w:r>
              <w:rPr>
                <w:sz w:val="20"/>
                <w:szCs w:val="20"/>
              </w:rPr>
              <w:t>$</w:t>
            </w:r>
            <w:r w:rsidR="008D475C">
              <w:rPr>
                <w:sz w:val="20"/>
                <w:szCs w:val="20"/>
              </w:rPr>
              <w:t>77</w:t>
            </w:r>
            <w:r>
              <w:rPr>
                <w:sz w:val="20"/>
                <w:szCs w:val="20"/>
              </w:rPr>
              <w:t>,</w:t>
            </w:r>
            <w:r w:rsidR="008D475C">
              <w:rPr>
                <w:sz w:val="20"/>
                <w:szCs w:val="20"/>
              </w:rPr>
              <w:t>765</w:t>
            </w:r>
          </w:p>
        </w:tc>
        <w:tc>
          <w:tcPr>
            <w:tcW w:w="304" w:type="dxa"/>
            <w:shd w:val="clear" w:color="auto" w:fill="CCCCCC"/>
            <w:vAlign w:val="center"/>
          </w:tcPr>
          <w:p w:rsidR="008D475C" w:rsidRPr="00226018" w:rsidRDefault="008D475C" w:rsidP="00226018">
            <w:pPr>
              <w:ind w:right="11"/>
              <w:jc w:val="center"/>
              <w:rPr>
                <w:sz w:val="20"/>
                <w:szCs w:val="20"/>
              </w:rPr>
            </w:pPr>
          </w:p>
        </w:tc>
        <w:tc>
          <w:tcPr>
            <w:tcW w:w="1301" w:type="dxa"/>
            <w:vAlign w:val="bottom"/>
          </w:tcPr>
          <w:p w:rsidR="008D475C" w:rsidRPr="00C72D62" w:rsidRDefault="008D475C" w:rsidP="00CC3785">
            <w:pPr>
              <w:jc w:val="center"/>
              <w:rPr>
                <w:sz w:val="20"/>
                <w:szCs w:val="20"/>
              </w:rPr>
            </w:pPr>
            <w:r>
              <w:rPr>
                <w:sz w:val="20"/>
                <w:szCs w:val="20"/>
              </w:rPr>
              <w:t>20+</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86</w:t>
            </w:r>
            <w:r>
              <w:rPr>
                <w:sz w:val="20"/>
                <w:szCs w:val="20"/>
              </w:rPr>
              <w:t>,</w:t>
            </w:r>
            <w:r w:rsidR="008D475C">
              <w:rPr>
                <w:sz w:val="20"/>
                <w:szCs w:val="20"/>
              </w:rPr>
              <w:t>939</w:t>
            </w:r>
          </w:p>
        </w:tc>
        <w:tc>
          <w:tcPr>
            <w:tcW w:w="1440" w:type="dxa"/>
            <w:vAlign w:val="bottom"/>
          </w:tcPr>
          <w:p w:rsidR="008D475C" w:rsidRPr="00C72D62" w:rsidRDefault="00122483" w:rsidP="00CC3785">
            <w:pPr>
              <w:jc w:val="center"/>
              <w:rPr>
                <w:sz w:val="20"/>
                <w:szCs w:val="20"/>
              </w:rPr>
            </w:pPr>
            <w:r>
              <w:rPr>
                <w:sz w:val="20"/>
                <w:szCs w:val="20"/>
              </w:rPr>
              <w:t>$</w:t>
            </w:r>
            <w:r w:rsidR="008D475C">
              <w:rPr>
                <w:sz w:val="20"/>
                <w:szCs w:val="20"/>
              </w:rPr>
              <w:t>88</w:t>
            </w:r>
            <w:r w:rsidR="005F71B2">
              <w:rPr>
                <w:sz w:val="20"/>
                <w:szCs w:val="20"/>
              </w:rPr>
              <w:t>,</w:t>
            </w:r>
            <w:r w:rsidR="008D475C">
              <w:rPr>
                <w:sz w:val="20"/>
                <w:szCs w:val="20"/>
              </w:rPr>
              <w:t>057</w:t>
            </w:r>
          </w:p>
        </w:tc>
        <w:tc>
          <w:tcPr>
            <w:tcW w:w="1614" w:type="dxa"/>
            <w:vAlign w:val="bottom"/>
          </w:tcPr>
          <w:p w:rsidR="008D475C" w:rsidRPr="00C72D62" w:rsidRDefault="005F71B2" w:rsidP="00CC3785">
            <w:pPr>
              <w:jc w:val="center"/>
              <w:rPr>
                <w:sz w:val="20"/>
                <w:szCs w:val="20"/>
              </w:rPr>
            </w:pPr>
            <w:r>
              <w:rPr>
                <w:sz w:val="20"/>
                <w:szCs w:val="20"/>
              </w:rPr>
              <w:t>$</w:t>
            </w:r>
            <w:r w:rsidR="00BC0232">
              <w:rPr>
                <w:sz w:val="20"/>
                <w:szCs w:val="20"/>
              </w:rPr>
              <w:t>93</w:t>
            </w:r>
            <w:r>
              <w:rPr>
                <w:sz w:val="20"/>
                <w:szCs w:val="20"/>
              </w:rPr>
              <w:t>,</w:t>
            </w:r>
            <w:r w:rsidR="00BC0232">
              <w:rPr>
                <w:sz w:val="20"/>
                <w:szCs w:val="20"/>
              </w:rPr>
              <w:t>077</w:t>
            </w:r>
          </w:p>
        </w:tc>
      </w:tr>
    </w:tbl>
    <w:p w:rsidR="00C40E77" w:rsidRDefault="00C40E77">
      <w:pPr>
        <w:rPr>
          <w:b/>
          <w:sz w:val="20"/>
          <w:szCs w:val="20"/>
        </w:rPr>
      </w:pPr>
    </w:p>
    <w:p w:rsidR="00C40E77" w:rsidRDefault="00C40E77">
      <w:pPr>
        <w:rPr>
          <w:b/>
          <w:sz w:val="20"/>
          <w:szCs w:val="20"/>
        </w:rPr>
      </w:pPr>
    </w:p>
    <w:p w:rsidR="00646E10" w:rsidRPr="003A2A0C" w:rsidRDefault="00646E10" w:rsidP="00D9474C">
      <w:pPr>
        <w:rPr>
          <w:u w:val="single"/>
        </w:rPr>
      </w:pPr>
    </w:p>
    <w:p w:rsidR="00D9474C" w:rsidRPr="00FE1DD8" w:rsidRDefault="00D9474C" w:rsidP="00D9474C">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D9474C" w:rsidRPr="00B337A3" w:rsidTr="007D6B26">
        <w:tc>
          <w:tcPr>
            <w:tcW w:w="2448" w:type="dxa"/>
          </w:tcPr>
          <w:p w:rsidR="00D9474C" w:rsidRPr="00D9474C" w:rsidRDefault="009262E0" w:rsidP="009262E0">
            <w:pPr>
              <w:rPr>
                <w:b/>
                <w:color w:val="FF0000"/>
              </w:rPr>
            </w:pPr>
            <w:r>
              <w:rPr>
                <w:b/>
              </w:rPr>
              <w:t xml:space="preserve">Lead </w:t>
            </w:r>
            <w:r w:rsidR="00BC0232">
              <w:rPr>
                <w:b/>
              </w:rPr>
              <w:t xml:space="preserve">Teacher, </w:t>
            </w:r>
            <w:r w:rsidR="004413CF" w:rsidRPr="00D9474C">
              <w:rPr>
                <w:b/>
              </w:rPr>
              <w:t>Dept</w:t>
            </w:r>
            <w:r w:rsidR="00D9474C" w:rsidRPr="00D9474C">
              <w:rPr>
                <w:b/>
              </w:rPr>
              <w:t xml:space="preserve"> Chair HKHS, etc.</w:t>
            </w:r>
            <w:r w:rsidR="00D9474C">
              <w:rPr>
                <w:b/>
                <w:color w:val="FF0000"/>
              </w:rPr>
              <w:t xml:space="preserve"> </w:t>
            </w:r>
          </w:p>
        </w:tc>
        <w:tc>
          <w:tcPr>
            <w:tcW w:w="6408" w:type="dxa"/>
          </w:tcPr>
          <w:p w:rsidR="00D9474C" w:rsidRPr="00B337A3" w:rsidRDefault="00D9474C" w:rsidP="007D6B26">
            <w:pPr>
              <w:rPr>
                <w:b/>
              </w:rPr>
            </w:pPr>
            <w:r>
              <w:rPr>
                <w:b/>
              </w:rPr>
              <w:t>Teachers in leadership positions</w:t>
            </w:r>
          </w:p>
        </w:tc>
      </w:tr>
    </w:tbl>
    <w:p w:rsidR="00D9474C" w:rsidRPr="00FE1DD8" w:rsidRDefault="00D9474C" w:rsidP="00D9474C">
      <w:pPr>
        <w:rPr>
          <w:sz w:val="8"/>
          <w:szCs w:val="8"/>
        </w:rPr>
      </w:pPr>
    </w:p>
    <w:p w:rsidR="00D9474C" w:rsidRPr="00707EF8" w:rsidRDefault="00D9474C" w:rsidP="00707EF8">
      <w:pPr>
        <w:rPr>
          <w:color w:val="FF0000"/>
          <w:sz w:val="22"/>
          <w:szCs w:val="22"/>
        </w:rPr>
      </w:pPr>
    </w:p>
    <w:p w:rsidR="00D9474C" w:rsidRDefault="00CC44EC" w:rsidP="00707EF8">
      <w:pPr>
        <w:jc w:val="both"/>
      </w:pPr>
      <w:r>
        <w:t>As long as administrators have filed the necessary paperwork</w:t>
      </w:r>
      <w:r w:rsidR="00233A4D">
        <w:t>,</w:t>
      </w:r>
      <w:r>
        <w:t xml:space="preserve"> additional pay for additional leadership </w:t>
      </w:r>
      <w:r w:rsidR="00233A4D">
        <w:t>work</w:t>
      </w:r>
      <w:r>
        <w:t xml:space="preserve"> should be in today’s paycheck. </w:t>
      </w:r>
      <w:r w:rsidR="00D9474C" w:rsidRPr="00316F4A">
        <w:t xml:space="preserve">You can verify your pay for leadership by dividing the </w:t>
      </w:r>
      <w:r w:rsidR="00211C2B">
        <w:t xml:space="preserve">various </w:t>
      </w:r>
      <w:r w:rsidR="00D9474C" w:rsidRPr="00316F4A">
        <w:t xml:space="preserve">contractual </w:t>
      </w:r>
      <w:r w:rsidR="00AC6F32" w:rsidRPr="00316F4A">
        <w:t>amount</w:t>
      </w:r>
      <w:r w:rsidR="00211C2B">
        <w:t>s</w:t>
      </w:r>
      <w:r w:rsidR="00AC6F32" w:rsidRPr="00316F4A">
        <w:t xml:space="preserve"> for your position by the proper 22 or 26 payments. </w:t>
      </w:r>
      <w:r w:rsidR="000B1790">
        <w:t xml:space="preserve">Refer to Article </w:t>
      </w:r>
      <w:r w:rsidR="000D1B0E">
        <w:t>XXVIII of</w:t>
      </w:r>
      <w:r w:rsidR="000B1790">
        <w:t xml:space="preserve"> the contract.</w:t>
      </w:r>
    </w:p>
    <w:p w:rsidR="00F61F4A" w:rsidRDefault="00F61F4A" w:rsidP="000F70C7">
      <w:pPr>
        <w:rPr>
          <w:u w:val="single"/>
        </w:rPr>
      </w:pPr>
    </w:p>
    <w:p w:rsidR="009B2C28" w:rsidRPr="000B1790" w:rsidRDefault="009B2C28" w:rsidP="009B2C28">
      <w:pPr>
        <w:jc w:val="both"/>
        <w:rPr>
          <w:color w:val="000000"/>
          <w:sz w:val="1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9B2C28" w:rsidRPr="00D145ED" w:rsidTr="009B2C28">
        <w:tc>
          <w:tcPr>
            <w:tcW w:w="2448" w:type="dxa"/>
          </w:tcPr>
          <w:p w:rsidR="009B2C28" w:rsidRPr="00D145ED" w:rsidRDefault="009B2C28" w:rsidP="009B2C28">
            <w:pPr>
              <w:rPr>
                <w:b/>
                <w:color w:val="000000"/>
              </w:rPr>
            </w:pPr>
            <w:r>
              <w:rPr>
                <w:b/>
                <w:color w:val="000000"/>
              </w:rPr>
              <w:t>Longevity</w:t>
            </w:r>
            <w:r w:rsidR="009262E0">
              <w:rPr>
                <w:b/>
                <w:color w:val="000000"/>
              </w:rPr>
              <w:t xml:space="preserve"> Pay</w:t>
            </w:r>
          </w:p>
        </w:tc>
        <w:tc>
          <w:tcPr>
            <w:tcW w:w="6408" w:type="dxa"/>
          </w:tcPr>
          <w:p w:rsidR="009B2C28" w:rsidRPr="00D145ED" w:rsidRDefault="009B2C28" w:rsidP="009B2C28">
            <w:pPr>
              <w:rPr>
                <w:b/>
                <w:color w:val="000000"/>
              </w:rPr>
            </w:pPr>
            <w:r>
              <w:rPr>
                <w:b/>
                <w:color w:val="000000"/>
              </w:rPr>
              <w:t>Veteran teachers in this district</w:t>
            </w:r>
          </w:p>
        </w:tc>
      </w:tr>
    </w:tbl>
    <w:p w:rsidR="009B2C28" w:rsidRDefault="009B2C28" w:rsidP="009B2C28">
      <w:pPr>
        <w:rPr>
          <w:color w:val="000000"/>
          <w:sz w:val="22"/>
          <w:szCs w:val="22"/>
        </w:rPr>
      </w:pPr>
    </w:p>
    <w:p w:rsidR="009B2C28" w:rsidRPr="00646E10" w:rsidRDefault="009B2C28" w:rsidP="009B2C28">
      <w:pPr>
        <w:jc w:val="both"/>
      </w:pPr>
      <w:r w:rsidRPr="00646E10">
        <w:t>Region 17</w:t>
      </w:r>
      <w:r w:rsidR="00CC44EC">
        <w:t xml:space="preserve">, like the majority of districts, </w:t>
      </w:r>
      <w:r w:rsidRPr="00646E10">
        <w:t>recognize</w:t>
      </w:r>
      <w:r w:rsidR="00CC44EC">
        <w:t>s</w:t>
      </w:r>
      <w:r w:rsidRPr="00646E10">
        <w:t xml:space="preserve"> the dedication of teachers to </w:t>
      </w:r>
      <w:r w:rsidR="0010170D" w:rsidRPr="00646E10">
        <w:t>their</w:t>
      </w:r>
      <w:r w:rsidRPr="00646E10">
        <w:t xml:space="preserve"> district. This happens in the form of longevity payments that will be made on all pay days. </w:t>
      </w:r>
      <w:r w:rsidR="00016EFF">
        <w:t xml:space="preserve">Teachers hired by the school district before July 1, 2015 qualify for this additional pay. </w:t>
      </w:r>
      <w:r w:rsidR="00A86240" w:rsidRPr="00646E10">
        <w:t>T</w:t>
      </w:r>
      <w:r w:rsidRPr="00646E10">
        <w:t>he total annual payments will be as follows:</w:t>
      </w:r>
    </w:p>
    <w:p w:rsidR="009B2C28" w:rsidRPr="00646E10" w:rsidRDefault="009B2C28" w:rsidP="009B2C28">
      <w:pPr>
        <w:jc w:val="both"/>
      </w:pPr>
    </w:p>
    <w:p w:rsidR="009B2C28" w:rsidRPr="00646E10" w:rsidRDefault="00CC44EC" w:rsidP="009B2C28">
      <w:pPr>
        <w:jc w:val="both"/>
      </w:pPr>
      <w:r>
        <w:t>$700</w:t>
      </w:r>
      <w:r w:rsidR="009B2C28" w:rsidRPr="00646E10">
        <w:t xml:space="preserve"> for teachers </w:t>
      </w:r>
      <w:r w:rsidR="00A86240" w:rsidRPr="00646E10">
        <w:t xml:space="preserve">on the maximum step (K) </w:t>
      </w:r>
      <w:r>
        <w:t>who</w:t>
      </w:r>
      <w:r w:rsidR="00233A4D">
        <w:t xml:space="preserve"> also</w:t>
      </w:r>
      <w:r w:rsidR="00A86240" w:rsidRPr="00646E10">
        <w:t xml:space="preserve"> have 10-14</w:t>
      </w:r>
      <w:r w:rsidR="009B2C28" w:rsidRPr="00646E10">
        <w:t xml:space="preserve"> completed years of experience in R</w:t>
      </w:r>
      <w:r>
        <w:t>egion 17 as of Septe</w:t>
      </w:r>
      <w:r w:rsidR="002F28AA">
        <w:t xml:space="preserve">mber 1, </w:t>
      </w:r>
      <w:r w:rsidR="00016EFF">
        <w:t>2018</w:t>
      </w:r>
      <w:r w:rsidR="009B2C28" w:rsidRPr="00646E10">
        <w:t xml:space="preserve">. These years need not be consecutive – you could teach 8 years in Region 17, leave to raise </w:t>
      </w:r>
      <w:r w:rsidR="00A86240" w:rsidRPr="00646E10">
        <w:t>a family, and teach 2</w:t>
      </w:r>
      <w:r w:rsidR="009B2C28" w:rsidRPr="00646E10">
        <w:t xml:space="preserve"> more year</w:t>
      </w:r>
      <w:r w:rsidR="00A86240" w:rsidRPr="00646E10">
        <w:t>s in Region 17 for a total of 10</w:t>
      </w:r>
      <w:r w:rsidR="009B2C28" w:rsidRPr="00646E10">
        <w:t xml:space="preserve"> years and thus qualify. </w:t>
      </w:r>
    </w:p>
    <w:p w:rsidR="009B2C28" w:rsidRPr="00646E10" w:rsidRDefault="009B2C28" w:rsidP="009B2C28">
      <w:pPr>
        <w:jc w:val="both"/>
      </w:pPr>
    </w:p>
    <w:p w:rsidR="009B2C28" w:rsidRPr="00646E10" w:rsidRDefault="008B215D" w:rsidP="009B2C28">
      <w:pPr>
        <w:jc w:val="both"/>
      </w:pPr>
      <w:r w:rsidRPr="00646E10">
        <w:lastRenderedPageBreak/>
        <w:t>$875</w:t>
      </w:r>
      <w:r w:rsidR="00A86240" w:rsidRPr="00646E10">
        <w:t xml:space="preserve"> for teachers on the maximum step (K) </w:t>
      </w:r>
      <w:r w:rsidR="00CC44EC">
        <w:t>who</w:t>
      </w:r>
      <w:r w:rsidR="00A86240" w:rsidRPr="00646E10">
        <w:t xml:space="preserve"> </w:t>
      </w:r>
      <w:r w:rsidR="00233A4D">
        <w:t xml:space="preserve">also </w:t>
      </w:r>
      <w:r w:rsidR="00A86240" w:rsidRPr="00646E10">
        <w:t>have 15</w:t>
      </w:r>
      <w:r w:rsidR="00CC44EC">
        <w:t>-19</w:t>
      </w:r>
      <w:r w:rsidR="009B2C28" w:rsidRPr="00646E10">
        <w:t xml:space="preserve"> completed years of experience in R</w:t>
      </w:r>
      <w:r w:rsidR="002F28AA">
        <w:t xml:space="preserve">egion 17 as of September 1, </w:t>
      </w:r>
      <w:r w:rsidR="007140EC">
        <w:t>2018</w:t>
      </w:r>
      <w:r w:rsidR="009B2C28" w:rsidRPr="00646E10">
        <w:t xml:space="preserve">. These years need not be consecutive – you could teach 8 years in Region 17, leave </w:t>
      </w:r>
      <w:r w:rsidR="00A86240" w:rsidRPr="00646E10">
        <w:t xml:space="preserve">to raise a family, and teach 7 </w:t>
      </w:r>
      <w:r w:rsidR="009B2C28" w:rsidRPr="00646E10">
        <w:t>more year</w:t>
      </w:r>
      <w:r w:rsidR="00A86240" w:rsidRPr="00646E10">
        <w:t>s in Region 17 for a total of 15</w:t>
      </w:r>
      <w:r w:rsidR="009B2C28" w:rsidRPr="00646E10">
        <w:t xml:space="preserve"> years and thus qualify. </w:t>
      </w:r>
    </w:p>
    <w:p w:rsidR="009B2C28" w:rsidRPr="00646E10" w:rsidRDefault="009B2C28" w:rsidP="009B2C28">
      <w:pPr>
        <w:jc w:val="both"/>
      </w:pPr>
    </w:p>
    <w:p w:rsidR="00CC44EC" w:rsidRPr="00646E10" w:rsidRDefault="00CC44EC" w:rsidP="00CC44EC">
      <w:pPr>
        <w:jc w:val="both"/>
      </w:pPr>
      <w:r>
        <w:t>$1000</w:t>
      </w:r>
      <w:r w:rsidRPr="00646E10">
        <w:t xml:space="preserve"> for teachers on the maximum step (K) </w:t>
      </w:r>
      <w:r>
        <w:t>who</w:t>
      </w:r>
      <w:r w:rsidRPr="00646E10">
        <w:t xml:space="preserve"> </w:t>
      </w:r>
      <w:r w:rsidR="00233A4D">
        <w:t xml:space="preserve">also </w:t>
      </w:r>
      <w:r w:rsidRPr="00646E10">
        <w:t xml:space="preserve">have </w:t>
      </w:r>
      <w:r>
        <w:t>20 or more</w:t>
      </w:r>
      <w:r w:rsidRPr="00646E10">
        <w:t xml:space="preserve"> completed years of experience in R</w:t>
      </w:r>
      <w:r w:rsidR="000B1790">
        <w:t>egion 17 as of Septemb</w:t>
      </w:r>
      <w:r w:rsidR="002F28AA">
        <w:t xml:space="preserve">er 1, </w:t>
      </w:r>
      <w:r w:rsidR="007140EC">
        <w:t>2018</w:t>
      </w:r>
      <w:r w:rsidRPr="00646E10">
        <w:t xml:space="preserve">. These years need not be consecutive – you could teach 8 years in Region 17, leave </w:t>
      </w:r>
      <w:r>
        <w:t>to raise a family, and teach 12</w:t>
      </w:r>
      <w:r w:rsidRPr="00646E10">
        <w:t xml:space="preserve"> more year</w:t>
      </w:r>
      <w:r>
        <w:t>s in Region 17 for a total of 20</w:t>
      </w:r>
      <w:r w:rsidRPr="00646E10">
        <w:t xml:space="preserve"> years and thus qualify. </w:t>
      </w:r>
    </w:p>
    <w:p w:rsidR="00CC44EC" w:rsidRDefault="00CC44EC" w:rsidP="009B2C28">
      <w:pPr>
        <w:jc w:val="both"/>
      </w:pPr>
    </w:p>
    <w:p w:rsidR="009B2C28" w:rsidRPr="00646E10" w:rsidRDefault="000F349B" w:rsidP="009B2C28">
      <w:pPr>
        <w:jc w:val="both"/>
      </w:pPr>
      <w:r w:rsidRPr="00646E10">
        <w:t xml:space="preserve">The longevity stipends listed should be divided by 22 or 26 according to </w:t>
      </w:r>
      <w:r w:rsidR="00211C2B">
        <w:t>the payment option</w:t>
      </w:r>
      <w:r w:rsidRPr="00646E10">
        <w:t xml:space="preserve"> you have selected. </w:t>
      </w:r>
    </w:p>
    <w:p w:rsidR="000F349B" w:rsidRPr="00646E10" w:rsidRDefault="000F349B" w:rsidP="000F70C7"/>
    <w:p w:rsidR="000F349B" w:rsidRDefault="000F349B" w:rsidP="000F70C7">
      <w:pPr>
        <w:rPr>
          <w:u w:val="single"/>
        </w:rPr>
      </w:pPr>
    </w:p>
    <w:p w:rsidR="00260681" w:rsidRPr="00260681" w:rsidRDefault="00260681" w:rsidP="00260681">
      <w:pPr>
        <w:rPr>
          <w:b/>
          <w:sz w:val="32"/>
          <w:u w:val="single"/>
        </w:rPr>
      </w:pPr>
      <w:r w:rsidRPr="00260681">
        <w:rPr>
          <w:b/>
          <w:sz w:val="32"/>
          <w:u w:val="single"/>
        </w:rPr>
        <w:t xml:space="preserve">In the </w:t>
      </w:r>
      <w:r>
        <w:rPr>
          <w:b/>
          <w:sz w:val="32"/>
          <w:u w:val="single"/>
        </w:rPr>
        <w:t>Taxes</w:t>
      </w:r>
      <w:r w:rsidRPr="00260681">
        <w:rPr>
          <w:b/>
          <w:sz w:val="32"/>
          <w:u w:val="single"/>
        </w:rPr>
        <w:t xml:space="preserve"> section of the paycheck…</w:t>
      </w:r>
    </w:p>
    <w:p w:rsidR="00260681" w:rsidRDefault="00260681"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260681" w:rsidRPr="00416043" w:rsidTr="00707EF8">
        <w:tc>
          <w:tcPr>
            <w:tcW w:w="2448" w:type="dxa"/>
          </w:tcPr>
          <w:p w:rsidR="00260681" w:rsidRPr="00416043" w:rsidRDefault="00260681" w:rsidP="00707EF8">
            <w:pPr>
              <w:rPr>
                <w:b/>
              </w:rPr>
            </w:pPr>
            <w:smartTag w:uri="urn:schemas-microsoft-com:office:smarttags" w:element="place">
              <w:smartTag w:uri="urn:schemas-microsoft-com:office:smarttags" w:element="PlaceName">
                <w:r>
                  <w:rPr>
                    <w:b/>
                  </w:rPr>
                  <w:t>Connecticut</w:t>
                </w:r>
              </w:smartTag>
              <w:r>
                <w:rPr>
                  <w:b/>
                </w:rPr>
                <w:t xml:space="preserve"> </w:t>
              </w:r>
              <w:smartTag w:uri="urn:schemas-microsoft-com:office:smarttags" w:element="PlaceType">
                <w:r>
                  <w:rPr>
                    <w:b/>
                  </w:rPr>
                  <w:t>State</w:t>
                </w:r>
              </w:smartTag>
            </w:smartTag>
            <w:r>
              <w:rPr>
                <w:b/>
              </w:rPr>
              <w:t xml:space="preserve"> Withholding</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260681" w:rsidRPr="003A2A0C" w:rsidRDefault="00260681" w:rsidP="006B54C1">
      <w:pPr>
        <w:jc w:val="both"/>
      </w:pPr>
      <w:r w:rsidRPr="003A2A0C">
        <w:t xml:space="preserve">This is the </w:t>
      </w:r>
      <w:r w:rsidR="007140EC">
        <w:t>subtraction</w:t>
      </w:r>
      <w:r w:rsidRPr="003A2A0C">
        <w:t xml:space="preserve"> for Connecticut income tax withholding. </w:t>
      </w:r>
      <w:r w:rsidR="00905DA1">
        <w:t xml:space="preserve">It will be higher today than on future “regular” checks since there are no tax deferred or tax free deductions made from today’s check. Today’s </w:t>
      </w:r>
      <w:r w:rsidR="007140EC">
        <w:t xml:space="preserve">Connecticut tax </w:t>
      </w:r>
      <w:r w:rsidR="00905DA1">
        <w:t xml:space="preserve">deduction is based </w:t>
      </w:r>
      <w:r w:rsidR="006B54C1">
        <w:t>on your gross sala</w:t>
      </w:r>
      <w:r w:rsidR="009262E0">
        <w:t xml:space="preserve">ry </w:t>
      </w:r>
      <w:r w:rsidR="00905DA1">
        <w:t>and</w:t>
      </w:r>
      <w:r w:rsidR="009262E0">
        <w:t xml:space="preserve"> the number of declared dependents. </w:t>
      </w:r>
      <w:r w:rsidR="009262E0" w:rsidRPr="003A2A0C">
        <w:t xml:space="preserve">This </w:t>
      </w:r>
      <w:r w:rsidR="007140EC">
        <w:t>subtraction</w:t>
      </w:r>
      <w:r w:rsidR="009262E0" w:rsidRPr="003A2A0C">
        <w:t xml:space="preserve"> </w:t>
      </w:r>
      <w:r w:rsidR="00233A4D">
        <w:t xml:space="preserve">(though not in the same dollar value) </w:t>
      </w:r>
      <w:r w:rsidR="009262E0" w:rsidRPr="003A2A0C">
        <w:t>will appear on every check.</w:t>
      </w:r>
      <w:r w:rsidR="002F28AA">
        <w:t xml:space="preserve"> No overall statement can be made about the size of this </w:t>
      </w:r>
      <w:r w:rsidR="007140EC">
        <w:t>subtraction</w:t>
      </w:r>
      <w:r w:rsidR="002F28AA">
        <w:t xml:space="preserve"> since those gross salaries and dependent counts vary so much from teacher to teacher.</w:t>
      </w:r>
    </w:p>
    <w:p w:rsidR="00260681" w:rsidRDefault="00260681" w:rsidP="00260681">
      <w:pPr>
        <w:jc w:val="both"/>
      </w:pPr>
    </w:p>
    <w:p w:rsidR="00260681" w:rsidRPr="003A2A0C" w:rsidRDefault="00260681" w:rsidP="00260681">
      <w:pPr>
        <w:rPr>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260681" w:rsidRPr="00416043" w:rsidTr="00707EF8">
        <w:tc>
          <w:tcPr>
            <w:tcW w:w="2448" w:type="dxa"/>
          </w:tcPr>
          <w:p w:rsidR="00260681" w:rsidRPr="00416043" w:rsidRDefault="00260681" w:rsidP="00707EF8">
            <w:pPr>
              <w:rPr>
                <w:b/>
              </w:rPr>
            </w:pPr>
            <w:r w:rsidRPr="00416043">
              <w:rPr>
                <w:b/>
              </w:rPr>
              <w:t>Medi</w:t>
            </w:r>
            <w:r w:rsidR="00707EF8">
              <w:rPr>
                <w:b/>
              </w:rPr>
              <w:t>care</w:t>
            </w:r>
          </w:p>
        </w:tc>
        <w:tc>
          <w:tcPr>
            <w:tcW w:w="6408" w:type="dxa"/>
          </w:tcPr>
          <w:p w:rsidR="00260681" w:rsidRPr="00416043" w:rsidRDefault="00260681" w:rsidP="00707EF8">
            <w:pPr>
              <w:rPr>
                <w:b/>
              </w:rPr>
            </w:pPr>
            <w:r w:rsidRPr="00416043">
              <w:rPr>
                <w:b/>
              </w:rPr>
              <w:t xml:space="preserve">Only those teachers who are liable for Medicare – those who </w:t>
            </w:r>
            <w:r w:rsidRPr="00416043">
              <w:rPr>
                <w:b/>
                <w:u w:val="single"/>
              </w:rPr>
              <w:t>permanently</w:t>
            </w:r>
            <w:r w:rsidRPr="00416043">
              <w:rPr>
                <w:b/>
              </w:rPr>
              <w:t xml:space="preserve"> </w:t>
            </w:r>
            <w:r w:rsidRPr="00416043">
              <w:rPr>
                <w:b/>
                <w:u w:val="single"/>
              </w:rPr>
              <w:t>started</w:t>
            </w:r>
            <w:r w:rsidRPr="00416043">
              <w:rPr>
                <w:b/>
              </w:rPr>
              <w:t xml:space="preserve"> employment </w:t>
            </w:r>
            <w:r w:rsidRPr="00492D91">
              <w:rPr>
                <w:b/>
                <w:u w:val="single"/>
              </w:rPr>
              <w:t>with this district</w:t>
            </w:r>
            <w:r w:rsidRPr="00416043">
              <w:rPr>
                <w:b/>
              </w:rPr>
              <w:t xml:space="preserve"> after March 31, 1986</w:t>
            </w:r>
            <w:r w:rsidR="00492D91">
              <w:rPr>
                <w:b/>
              </w:rPr>
              <w:t xml:space="preserve"> – our </w:t>
            </w:r>
            <w:r w:rsidR="007140EC">
              <w:rPr>
                <w:b/>
              </w:rPr>
              <w:t xml:space="preserve">very </w:t>
            </w:r>
            <w:r w:rsidR="00492D91">
              <w:rPr>
                <w:b/>
              </w:rPr>
              <w:t>veteran teachers!</w:t>
            </w:r>
          </w:p>
        </w:tc>
      </w:tr>
    </w:tbl>
    <w:p w:rsidR="00260681" w:rsidRPr="003A2A0C" w:rsidRDefault="00260681" w:rsidP="00260681"/>
    <w:p w:rsidR="00F61F4A" w:rsidRPr="00316F4A" w:rsidRDefault="00260681" w:rsidP="00316F4A">
      <w:pPr>
        <w:jc w:val="both"/>
      </w:pPr>
      <w:r w:rsidRPr="003A2A0C">
        <w:t xml:space="preserve">Due to the interaction of state and federal law Connecticut teachers hired </w:t>
      </w:r>
      <w:r w:rsidR="007140EC">
        <w:t xml:space="preserve">or rehired </w:t>
      </w:r>
      <w:r w:rsidRPr="003A2A0C">
        <w:t xml:space="preserve">after </w:t>
      </w:r>
      <w:r>
        <w:t xml:space="preserve">March 31, 1986 </w:t>
      </w:r>
      <w:r w:rsidRPr="003A2A0C">
        <w:t xml:space="preserve">are liable for Medicare </w:t>
      </w:r>
      <w:r w:rsidR="009262E0">
        <w:t>taxation</w:t>
      </w:r>
      <w:r w:rsidRPr="003A2A0C">
        <w:t xml:space="preserve"> </w:t>
      </w:r>
      <w:r w:rsidR="003F1A29">
        <w:t>and</w:t>
      </w:r>
      <w:r w:rsidRPr="003A2A0C">
        <w:t xml:space="preserve"> thus </w:t>
      </w:r>
      <w:r w:rsidR="00211C2B">
        <w:t xml:space="preserve">can </w:t>
      </w:r>
      <w:r w:rsidR="00DF55C8">
        <w:t>possibly earn eventual personal</w:t>
      </w:r>
      <w:r w:rsidR="00211C2B" w:rsidRPr="003A2A0C">
        <w:t xml:space="preserve"> Medicare coverage. </w:t>
      </w:r>
      <w:r w:rsidR="00211C2B">
        <w:t xml:space="preserve">Note: </w:t>
      </w:r>
      <w:r w:rsidR="004555F9">
        <w:t xml:space="preserve">more veteran </w:t>
      </w:r>
      <w:r w:rsidR="00211C2B">
        <w:t xml:space="preserve">teachers can become separately </w:t>
      </w:r>
      <w:r w:rsidRPr="003A2A0C">
        <w:t xml:space="preserve">eligible for </w:t>
      </w:r>
      <w:r w:rsidR="00211C2B">
        <w:t xml:space="preserve">Medicare coverage through </w:t>
      </w:r>
      <w:r w:rsidR="000B1790">
        <w:t xml:space="preserve">non-district employment or through </w:t>
      </w:r>
      <w:r w:rsidR="00211C2B">
        <w:t>ten years of marriage to a spouse</w:t>
      </w:r>
      <w:r w:rsidR="0011772B">
        <w:t xml:space="preserve"> or ex-spouse</w:t>
      </w:r>
      <w:r w:rsidR="00211C2B">
        <w:t xml:space="preserve"> if that spouse</w:t>
      </w:r>
      <w:r w:rsidR="0011772B">
        <w:t xml:space="preserve"> or ex-spouse</w:t>
      </w:r>
      <w:r w:rsidR="00211C2B">
        <w:t xml:space="preserve"> is Medicare eligible. </w:t>
      </w:r>
      <w:r w:rsidRPr="003A2A0C">
        <w:t xml:space="preserve">The individual </w:t>
      </w:r>
      <w:r w:rsidR="006D2C6E">
        <w:t>subtraction</w:t>
      </w:r>
      <w:r w:rsidRPr="003A2A0C">
        <w:t xml:space="preserve"> should be 1.45%. </w:t>
      </w:r>
      <w:r w:rsidR="00233A4D">
        <w:t>T</w:t>
      </w:r>
      <w:r w:rsidR="00905DA1">
        <w:t xml:space="preserve">oday’s </w:t>
      </w:r>
      <w:r w:rsidR="006D2C6E">
        <w:t>subtraction</w:t>
      </w:r>
      <w:r w:rsidR="00905DA1">
        <w:t xml:space="preserve"> may be higher than future “regular” check </w:t>
      </w:r>
      <w:r w:rsidR="006D2C6E">
        <w:t>subtraction</w:t>
      </w:r>
      <w:r w:rsidR="00905DA1">
        <w:t xml:space="preserve"> since there are no tax deferred or tax free deductions on today’s check. </w:t>
      </w:r>
      <w:r>
        <w:t xml:space="preserve">To calculate your Medicare tax </w:t>
      </w:r>
      <w:r w:rsidR="00707EF8">
        <w:t xml:space="preserve">on </w:t>
      </w:r>
      <w:r w:rsidR="00905DA1">
        <w:t>today’s “third” check t</w:t>
      </w:r>
      <w:r>
        <w:t xml:space="preserve">ake </w:t>
      </w:r>
      <w:r w:rsidR="00905DA1">
        <w:t xml:space="preserve">1.45% of </w:t>
      </w:r>
      <w:r>
        <w:t xml:space="preserve">the </w:t>
      </w:r>
      <w:r w:rsidR="00707EF8">
        <w:t xml:space="preserve">total earnings </w:t>
      </w:r>
      <w:r w:rsidR="000B1CB5">
        <w:t xml:space="preserve">for </w:t>
      </w:r>
      <w:r w:rsidR="00DF55C8">
        <w:t xml:space="preserve">the </w:t>
      </w:r>
      <w:r w:rsidR="000B1CB5">
        <w:t xml:space="preserve"> pay period </w:t>
      </w:r>
      <w:r w:rsidR="00707EF8">
        <w:t xml:space="preserve">listed at the top of the </w:t>
      </w:r>
      <w:r w:rsidR="00B964A1">
        <w:t>statement</w:t>
      </w:r>
      <w:r w:rsidR="00707EF8">
        <w:t xml:space="preserve"> </w:t>
      </w:r>
      <w:r w:rsidR="00905DA1">
        <w:t>- multiply</w:t>
      </w:r>
      <w:r w:rsidRPr="009A7DA2">
        <w:t xml:space="preserve"> by its decimal equivalent .0145. That should be the listed Medicare </w:t>
      </w:r>
      <w:r w:rsidR="006D2C6E">
        <w:t>subtraction</w:t>
      </w:r>
      <w:r w:rsidRPr="009A7DA2">
        <w:t xml:space="preserve"> on </w:t>
      </w:r>
      <w:r w:rsidR="00905DA1">
        <w:t>today’s</w:t>
      </w:r>
      <w:r w:rsidRPr="009A7DA2">
        <w:t xml:space="preserve"> check</w:t>
      </w:r>
      <w:r w:rsidRPr="002B2D48">
        <w:t>. This should be accurate to within a penny due to rounding.</w:t>
      </w:r>
    </w:p>
    <w:p w:rsidR="0011181C" w:rsidRDefault="0011181C" w:rsidP="007265B5">
      <w:pPr>
        <w:rPr>
          <w:u w:val="single"/>
        </w:rPr>
      </w:pPr>
    </w:p>
    <w:p w:rsidR="00E15922" w:rsidRPr="003A2A0C" w:rsidRDefault="00E15922" w:rsidP="00E15922">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6408"/>
      </w:tblGrid>
      <w:tr w:rsidR="00E15922" w:rsidRPr="00416043" w:rsidTr="000C5995">
        <w:tc>
          <w:tcPr>
            <w:tcW w:w="2448" w:type="dxa"/>
          </w:tcPr>
          <w:p w:rsidR="00E15922" w:rsidRPr="00416043" w:rsidRDefault="00E15922" w:rsidP="000C5995">
            <w:pPr>
              <w:rPr>
                <w:b/>
              </w:rPr>
            </w:pPr>
            <w:r w:rsidRPr="00416043">
              <w:rPr>
                <w:b/>
              </w:rPr>
              <w:t>F</w:t>
            </w:r>
            <w:r>
              <w:rPr>
                <w:b/>
              </w:rPr>
              <w:t>ederal Withholding Tax</w:t>
            </w:r>
          </w:p>
        </w:tc>
        <w:tc>
          <w:tcPr>
            <w:tcW w:w="6408" w:type="dxa"/>
          </w:tcPr>
          <w:p w:rsidR="00E15922" w:rsidRPr="00416043" w:rsidRDefault="00E15922" w:rsidP="000C5995">
            <w:pPr>
              <w:rPr>
                <w:b/>
              </w:rPr>
            </w:pPr>
            <w:r w:rsidRPr="00416043">
              <w:rPr>
                <w:b/>
              </w:rPr>
              <w:t>All teachers</w:t>
            </w:r>
          </w:p>
        </w:tc>
      </w:tr>
    </w:tbl>
    <w:p w:rsidR="00E15922" w:rsidRPr="003A2A0C" w:rsidRDefault="00E15922" w:rsidP="00E15922"/>
    <w:p w:rsidR="00E15922" w:rsidRDefault="00E15922" w:rsidP="00E15922">
      <w:pPr>
        <w:jc w:val="both"/>
      </w:pPr>
      <w:r w:rsidRPr="003A2A0C">
        <w:t xml:space="preserve">This is the deduction for federal income tax withholding. Beyond that see the comments for </w:t>
      </w:r>
      <w:r>
        <w:t>state</w:t>
      </w:r>
      <w:r w:rsidRPr="003A2A0C">
        <w:t xml:space="preserve"> income tax withholding. This deduction will appear on every check.</w:t>
      </w:r>
      <w:r>
        <w:t xml:space="preserve"> </w:t>
      </w:r>
    </w:p>
    <w:p w:rsidR="00E15922" w:rsidRDefault="00E15922" w:rsidP="007265B5">
      <w:pPr>
        <w:rPr>
          <w:u w:val="single"/>
        </w:rPr>
      </w:pPr>
    </w:p>
    <w:p w:rsidR="007265B5" w:rsidRPr="00260681" w:rsidRDefault="007265B5" w:rsidP="007265B5">
      <w:pPr>
        <w:rPr>
          <w:b/>
          <w:sz w:val="32"/>
          <w:u w:val="single"/>
        </w:rPr>
      </w:pPr>
      <w:r w:rsidRPr="00260681">
        <w:rPr>
          <w:b/>
          <w:sz w:val="32"/>
          <w:u w:val="single"/>
        </w:rPr>
        <w:t xml:space="preserve">In the </w:t>
      </w:r>
      <w:r>
        <w:rPr>
          <w:b/>
          <w:sz w:val="32"/>
          <w:u w:val="single"/>
        </w:rPr>
        <w:t>Deductions</w:t>
      </w:r>
      <w:r w:rsidRPr="00260681">
        <w:rPr>
          <w:b/>
          <w:sz w:val="32"/>
          <w:u w:val="single"/>
        </w:rPr>
        <w:t xml:space="preserve"> section of the paycheck…</w:t>
      </w:r>
    </w:p>
    <w:p w:rsidR="00F61F4A" w:rsidRDefault="00F61F4A" w:rsidP="000F70C7">
      <w:pPr>
        <w:rPr>
          <w:u w:val="single"/>
        </w:rPr>
      </w:pPr>
    </w:p>
    <w:p w:rsidR="00D7707C" w:rsidRDefault="00D7707C" w:rsidP="0011302A">
      <w:pPr>
        <w:jc w:val="both"/>
        <w:rPr>
          <w:color w:val="FF0000"/>
        </w:rPr>
      </w:pPr>
    </w:p>
    <w:p w:rsidR="00D7707C" w:rsidRPr="004555F9" w:rsidRDefault="004555F9" w:rsidP="0011302A">
      <w:pPr>
        <w:jc w:val="both"/>
        <w:rPr>
          <w:color w:val="000000"/>
        </w:rPr>
      </w:pPr>
      <w:r w:rsidRPr="004555F9">
        <w:rPr>
          <w:color w:val="000000"/>
        </w:rPr>
        <w:t>There should be no deductions on today’s “third” check.</w:t>
      </w:r>
    </w:p>
    <w:p w:rsidR="002A5FA8" w:rsidRDefault="002A5FA8" w:rsidP="0011302A">
      <w:pPr>
        <w:jc w:val="both"/>
        <w:rPr>
          <w:color w:val="FF0000"/>
        </w:rPr>
      </w:pPr>
    </w:p>
    <w:p w:rsidR="006C562D" w:rsidRPr="006C562D" w:rsidRDefault="006C562D" w:rsidP="006C562D">
      <w:pPr>
        <w:rPr>
          <w:b/>
          <w:sz w:val="32"/>
          <w:u w:val="single"/>
        </w:rPr>
      </w:pPr>
      <w:r w:rsidRPr="006C562D">
        <w:rPr>
          <w:b/>
          <w:sz w:val="32"/>
          <w:u w:val="single"/>
        </w:rPr>
        <w:t>In the Direct Deposits section of the paystub …</w:t>
      </w:r>
    </w:p>
    <w:p w:rsidR="006C562D" w:rsidRPr="00981866" w:rsidRDefault="006C562D" w:rsidP="006C562D">
      <w:pPr>
        <w:jc w:val="both"/>
        <w:rPr>
          <w:color w:val="000000"/>
          <w:sz w:val="22"/>
          <w:szCs w:val="22"/>
        </w:rPr>
      </w:pPr>
    </w:p>
    <w:p w:rsidR="006C562D" w:rsidRPr="00981866" w:rsidRDefault="00492D91" w:rsidP="006C562D">
      <w:pPr>
        <w:jc w:val="both"/>
        <w:rPr>
          <w:color w:val="000000"/>
        </w:rPr>
      </w:pPr>
      <w:r>
        <w:rPr>
          <w:color w:val="000000"/>
        </w:rPr>
        <w:t>All teachers now are contractually required to have</w:t>
      </w:r>
      <w:r w:rsidR="006C562D">
        <w:rPr>
          <w:color w:val="000000"/>
        </w:rPr>
        <w:t xml:space="preserve"> direct deposit of the net pay of </w:t>
      </w:r>
      <w:r>
        <w:rPr>
          <w:color w:val="000000"/>
        </w:rPr>
        <w:t>their</w:t>
      </w:r>
      <w:r w:rsidR="006C562D">
        <w:rPr>
          <w:color w:val="000000"/>
        </w:rPr>
        <w:t xml:space="preserve"> check</w:t>
      </w:r>
      <w:r>
        <w:rPr>
          <w:color w:val="000000"/>
        </w:rPr>
        <w:t xml:space="preserve">. </w:t>
      </w:r>
      <w:r w:rsidR="006C562D">
        <w:rPr>
          <w:color w:val="000000"/>
        </w:rPr>
        <w:t xml:space="preserve">Various financial institutions will be listed depending upon your own selection. </w:t>
      </w:r>
    </w:p>
    <w:p w:rsidR="002A5FA8" w:rsidRDefault="002A5FA8" w:rsidP="006C562D">
      <w:pPr>
        <w:jc w:val="both"/>
      </w:pPr>
    </w:p>
    <w:p w:rsidR="002A5FA8" w:rsidRDefault="002A5FA8" w:rsidP="006C562D">
      <w:pPr>
        <w:jc w:val="both"/>
      </w:pPr>
    </w:p>
    <w:p w:rsidR="006C562D" w:rsidRPr="006C562D" w:rsidRDefault="006C562D" w:rsidP="006C562D">
      <w:pPr>
        <w:rPr>
          <w:b/>
          <w:sz w:val="32"/>
          <w:u w:val="single"/>
        </w:rPr>
      </w:pPr>
      <w:r w:rsidRPr="006C562D">
        <w:rPr>
          <w:b/>
          <w:sz w:val="32"/>
          <w:u w:val="single"/>
        </w:rPr>
        <w:t>In the Check Summary section of the paystub…</w:t>
      </w:r>
    </w:p>
    <w:p w:rsidR="006C562D" w:rsidRPr="00981866" w:rsidRDefault="006C562D" w:rsidP="006C562D">
      <w:pPr>
        <w:jc w:val="both"/>
        <w:rPr>
          <w:color w:val="000000"/>
          <w:sz w:val="22"/>
          <w:szCs w:val="22"/>
        </w:rPr>
      </w:pPr>
    </w:p>
    <w:p w:rsidR="006C562D" w:rsidRDefault="006C562D" w:rsidP="006C562D">
      <w:pPr>
        <w:jc w:val="both"/>
        <w:rPr>
          <w:color w:val="000000"/>
        </w:rPr>
      </w:pPr>
      <w:r>
        <w:rPr>
          <w:color w:val="000000"/>
        </w:rPr>
        <w:t xml:space="preserve">This will summarize the check’s ebb and flow of money. Each of the sections (Earnings, Taxes, and Deductions) will be listed. The net or “take home” pay will be then calculated. </w:t>
      </w:r>
      <w:r w:rsidR="00BD3042">
        <w:rPr>
          <w:color w:val="000000"/>
        </w:rPr>
        <w:t xml:space="preserve">That amount will be directly deposited in the financial institution you have chosen. You should verify that the financial institution has received this first paycheck, especially if you just </w:t>
      </w:r>
      <w:r w:rsidR="007D1ADA">
        <w:rPr>
          <w:color w:val="000000"/>
        </w:rPr>
        <w:t>changed</w:t>
      </w:r>
      <w:r w:rsidR="00BD3042">
        <w:rPr>
          <w:color w:val="000000"/>
        </w:rPr>
        <w:t xml:space="preserve"> direct deposit </w:t>
      </w:r>
      <w:r w:rsidR="007D1ADA">
        <w:rPr>
          <w:color w:val="000000"/>
        </w:rPr>
        <w:t xml:space="preserve">institution </w:t>
      </w:r>
      <w:r w:rsidR="00BD3042">
        <w:rPr>
          <w:color w:val="000000"/>
        </w:rPr>
        <w:t xml:space="preserve">for this school year. </w:t>
      </w:r>
    </w:p>
    <w:p w:rsidR="0011181C" w:rsidRDefault="0011181C" w:rsidP="006C562D">
      <w:pPr>
        <w:jc w:val="both"/>
        <w:rPr>
          <w:color w:val="000000"/>
        </w:rPr>
      </w:pPr>
    </w:p>
    <w:p w:rsidR="00AE1F39" w:rsidRPr="00053799" w:rsidRDefault="006C562D" w:rsidP="00053799">
      <w:pPr>
        <w:jc w:val="both"/>
        <w:rPr>
          <w:color w:val="000000"/>
        </w:rPr>
      </w:pPr>
      <w:r>
        <w:rPr>
          <w:color w:val="000000"/>
        </w:rPr>
        <w:t xml:space="preserve">Well that’s it for Part </w:t>
      </w:r>
      <w:r w:rsidR="00AE1F39">
        <w:rPr>
          <w:color w:val="000000"/>
        </w:rPr>
        <w:t>Un</w:t>
      </w:r>
      <w:r>
        <w:rPr>
          <w:color w:val="000000"/>
        </w:rPr>
        <w:t xml:space="preserve"> of the Paycheck primer. </w:t>
      </w:r>
      <w:r w:rsidR="00AE1F39">
        <w:t>The second chec</w:t>
      </w:r>
      <w:r w:rsidR="005A571A">
        <w:t>k will be issued o</w:t>
      </w:r>
      <w:r w:rsidR="00927CED">
        <w:t>n September 6</w:t>
      </w:r>
      <w:r w:rsidR="00AE1F39" w:rsidRPr="00AE1F39">
        <w:rPr>
          <w:vertAlign w:val="superscript"/>
        </w:rPr>
        <w:t>th</w:t>
      </w:r>
      <w:r w:rsidR="00AE1F39">
        <w:t xml:space="preserve">. </w:t>
      </w:r>
      <w:r w:rsidR="00905DA1">
        <w:t xml:space="preserve">Part Deux of the </w:t>
      </w:r>
      <w:r w:rsidR="00AE1F39">
        <w:t xml:space="preserve">Payroll </w:t>
      </w:r>
      <w:r w:rsidR="00905DA1">
        <w:t>will be published on that</w:t>
      </w:r>
      <w:r w:rsidR="00AE1F39">
        <w:t xml:space="preserve"> date. </w:t>
      </w:r>
    </w:p>
    <w:p w:rsidR="00AE1F39" w:rsidRDefault="00AE1F39" w:rsidP="006C562D">
      <w:pPr>
        <w:jc w:val="both"/>
      </w:pPr>
    </w:p>
    <w:p w:rsidR="006C562D" w:rsidRPr="00981866" w:rsidRDefault="006C562D" w:rsidP="006C562D">
      <w:pPr>
        <w:jc w:val="both"/>
        <w:rPr>
          <w:color w:val="000000"/>
        </w:rPr>
      </w:pPr>
      <w:r>
        <w:t xml:space="preserve">Save your </w:t>
      </w:r>
      <w:r w:rsidR="004413CF">
        <w:t>payroll statements</w:t>
      </w:r>
      <w:r>
        <w:t>!</w:t>
      </w:r>
    </w:p>
    <w:p w:rsidR="006C562D" w:rsidRPr="007512DB" w:rsidRDefault="006C562D" w:rsidP="0011302A">
      <w:pPr>
        <w:jc w:val="both"/>
        <w:rPr>
          <w:color w:val="FF0000"/>
        </w:rPr>
      </w:pPr>
    </w:p>
    <w:p w:rsidR="00D362FE" w:rsidRPr="007512DB" w:rsidRDefault="007512DB" w:rsidP="0011302A">
      <w:pPr>
        <w:jc w:val="both"/>
        <w:rPr>
          <w:b/>
          <w:sz w:val="36"/>
          <w:u w:val="single"/>
        </w:rPr>
      </w:pPr>
      <w:r w:rsidRPr="007512DB">
        <w:rPr>
          <w:b/>
          <w:sz w:val="36"/>
          <w:u w:val="single"/>
        </w:rPr>
        <w:t>Final Thoughts</w:t>
      </w:r>
    </w:p>
    <w:p w:rsidR="007512DB" w:rsidRDefault="007512DB" w:rsidP="0011302A">
      <w:pPr>
        <w:jc w:val="both"/>
      </w:pPr>
    </w:p>
    <w:p w:rsidR="00C86E31" w:rsidRDefault="004413CF" w:rsidP="007512DB">
      <w:pPr>
        <w:jc w:val="both"/>
      </w:pPr>
      <w:r w:rsidRPr="007512DB">
        <w:rPr>
          <w:b/>
        </w:rPr>
        <w:t>When changes occur – birth of child, pregnancy leaves,</w:t>
      </w:r>
      <w:r>
        <w:rPr>
          <w:b/>
        </w:rPr>
        <w:t xml:space="preserve">  </w:t>
      </w:r>
      <w:r w:rsidRPr="007512DB">
        <w:rPr>
          <w:b/>
        </w:rPr>
        <w:t>marriage, etc.</w:t>
      </w:r>
      <w:r>
        <w:rPr>
          <w:b/>
        </w:rPr>
        <w:t xml:space="preserve"> </w:t>
      </w:r>
      <w:r w:rsidR="00AE1F39">
        <w:t>M</w:t>
      </w:r>
      <w:r w:rsidR="0011302A">
        <w:t>idstream changes are a tricky area and require wholesale recalculations of salaries and deductions. When</w:t>
      </w:r>
      <w:r w:rsidR="00685079">
        <w:t xml:space="preserve"> a paycheck has a change in</w:t>
      </w:r>
      <w:r w:rsidR="0011302A">
        <w:t xml:space="preserve"> your salary or deductions </w:t>
      </w:r>
      <w:r w:rsidR="00BE25A9">
        <w:t>it</w:t>
      </w:r>
      <w:r w:rsidR="0011302A">
        <w:t xml:space="preserve"> should be accompanied by </w:t>
      </w:r>
      <w:r w:rsidR="006C562D">
        <w:t>a</w:t>
      </w:r>
      <w:r w:rsidR="0011302A">
        <w:t xml:space="preserve"> </w:t>
      </w:r>
      <w:r w:rsidR="007512DB">
        <w:t xml:space="preserve">written </w:t>
      </w:r>
      <w:r w:rsidR="0011302A">
        <w:t>explanation</w:t>
      </w:r>
      <w:r w:rsidR="007512DB">
        <w:t xml:space="preserve"> </w:t>
      </w:r>
      <w:r w:rsidR="0011302A">
        <w:t>of the associated calculations as determined by the Central Office.</w:t>
      </w:r>
      <w:r w:rsidR="00BE25A9">
        <w:t xml:space="preserve"> If they are not </w:t>
      </w:r>
      <w:r w:rsidR="002A657D">
        <w:t xml:space="preserve">included </w:t>
      </w:r>
      <w:r w:rsidR="00BE25A9">
        <w:t xml:space="preserve">then those calculations and explanations should be requested of </w:t>
      </w:r>
      <w:r w:rsidR="00053799" w:rsidRPr="004413CF">
        <w:t xml:space="preserve">the payroll </w:t>
      </w:r>
      <w:r w:rsidR="00D57F1B" w:rsidRPr="004413CF">
        <w:t>specialist</w:t>
      </w:r>
      <w:r w:rsidR="00053799" w:rsidRPr="004413CF">
        <w:t xml:space="preserve"> </w:t>
      </w:r>
      <w:r>
        <w:t xml:space="preserve">Amber White </w:t>
      </w:r>
      <w:hyperlink r:id="rId13" w:history="1">
        <w:r w:rsidR="00927CED" w:rsidRPr="00FE24CF">
          <w:rPr>
            <w:rStyle w:val="Hyperlink"/>
          </w:rPr>
          <w:t>awhite@rsd17.org</w:t>
        </w:r>
      </w:hyperlink>
      <w:r w:rsidR="00053799" w:rsidRPr="004413CF">
        <w:t>.</w:t>
      </w:r>
      <w:r w:rsidR="00053799">
        <w:t xml:space="preserve"> </w:t>
      </w:r>
      <w:r w:rsidR="00BE25A9">
        <w:t>Such changes that deserve careful scrutiny would occur</w:t>
      </w:r>
      <w:r w:rsidR="0011302A">
        <w:t xml:space="preserve"> </w:t>
      </w:r>
      <w:r w:rsidR="00BE25A9">
        <w:t xml:space="preserve">if you </w:t>
      </w:r>
      <w:r w:rsidR="002F28AA">
        <w:t>alter</w:t>
      </w:r>
      <w:r w:rsidR="00BE25A9">
        <w:t xml:space="preserve"> the number of family members on health care, come back after unpaid leave, or have other substantial </w:t>
      </w:r>
      <w:r w:rsidR="002F28AA">
        <w:t>revisions</w:t>
      </w:r>
      <w:r w:rsidR="00BE25A9">
        <w:t xml:space="preserve"> to your </w:t>
      </w:r>
      <w:r w:rsidR="00AE1F39">
        <w:t xml:space="preserve">employment </w:t>
      </w:r>
      <w:r w:rsidR="00BE25A9">
        <w:t xml:space="preserve">status. </w:t>
      </w:r>
      <w:r w:rsidR="00AE1F39">
        <w:t>Be sure to contact me if something seem</w:t>
      </w:r>
      <w:r w:rsidR="007D1ADA">
        <w:t>s amiss</w:t>
      </w:r>
      <w:r w:rsidR="00903586">
        <w:t>, jfdaniels@gmail.com</w:t>
      </w:r>
      <w:r w:rsidR="007D1ADA">
        <w:t xml:space="preserve">. </w:t>
      </w:r>
    </w:p>
    <w:p w:rsidR="00AE1F39" w:rsidRDefault="00AE1F39" w:rsidP="007512DB">
      <w:pPr>
        <w:jc w:val="both"/>
      </w:pPr>
    </w:p>
    <w:p w:rsidR="00D41E5B" w:rsidRPr="00A052B6" w:rsidRDefault="00AE1F39" w:rsidP="007512DB">
      <w:pPr>
        <w:jc w:val="both"/>
      </w:pPr>
      <w:r>
        <w:t>Jim Daniels</w:t>
      </w:r>
      <w:r w:rsidR="00B964A1">
        <w:t>, HKEA</w:t>
      </w:r>
    </w:p>
    <w:sectPr w:rsidR="00D41E5B" w:rsidRPr="00A052B6" w:rsidSect="00A052B6">
      <w:footerReference w:type="default" r:id="rId14"/>
      <w:pgSz w:w="12240" w:h="15840"/>
      <w:pgMar w:top="72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9F3" w:rsidRDefault="006B69F3" w:rsidP="00E84AB6">
      <w:r>
        <w:separator/>
      </w:r>
    </w:p>
  </w:endnote>
  <w:endnote w:type="continuationSeparator" w:id="0">
    <w:p w:rsidR="006B69F3" w:rsidRDefault="006B69F3" w:rsidP="00E8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B6" w:rsidRPr="00E84AB6" w:rsidRDefault="00E84AB6" w:rsidP="00E84AB6">
    <w:pPr>
      <w:pStyle w:val="Footer"/>
      <w:jc w:val="center"/>
      <w:rPr>
        <w:sz w:val="16"/>
      </w:rPr>
    </w:pPr>
    <w:r w:rsidRPr="00E84AB6">
      <w:rPr>
        <w:sz w:val="16"/>
      </w:rPr>
      <w:t>This primer is provided as a courtesy to HKEA members. It is should not be considered actionable guidance for one’s financial affairs. Teachers should consult their financial advisors or other experts for such financial guidance.</w:t>
    </w:r>
  </w:p>
  <w:p w:rsidR="00E84AB6" w:rsidRDefault="00E8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9F3" w:rsidRDefault="006B69F3" w:rsidP="00E84AB6">
      <w:r>
        <w:separator/>
      </w:r>
    </w:p>
  </w:footnote>
  <w:footnote w:type="continuationSeparator" w:id="0">
    <w:p w:rsidR="006B69F3" w:rsidRDefault="006B69F3" w:rsidP="00E84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11302A"/>
    <w:rsid w:val="000022D9"/>
    <w:rsid w:val="00007D41"/>
    <w:rsid w:val="00016EFF"/>
    <w:rsid w:val="0003658A"/>
    <w:rsid w:val="00046CB1"/>
    <w:rsid w:val="00053799"/>
    <w:rsid w:val="000804E4"/>
    <w:rsid w:val="000909A5"/>
    <w:rsid w:val="000A454E"/>
    <w:rsid w:val="000B1790"/>
    <w:rsid w:val="000B1CB5"/>
    <w:rsid w:val="000C526C"/>
    <w:rsid w:val="000C5F80"/>
    <w:rsid w:val="000D1B0E"/>
    <w:rsid w:val="000F349B"/>
    <w:rsid w:val="000F70C7"/>
    <w:rsid w:val="001005B4"/>
    <w:rsid w:val="0010064A"/>
    <w:rsid w:val="0010170D"/>
    <w:rsid w:val="0011181C"/>
    <w:rsid w:val="0011302A"/>
    <w:rsid w:val="0011772B"/>
    <w:rsid w:val="00121D56"/>
    <w:rsid w:val="00122483"/>
    <w:rsid w:val="0013174D"/>
    <w:rsid w:val="00145E3D"/>
    <w:rsid w:val="00174828"/>
    <w:rsid w:val="0018279E"/>
    <w:rsid w:val="00185DF5"/>
    <w:rsid w:val="001B0C88"/>
    <w:rsid w:val="001E09A3"/>
    <w:rsid w:val="001F3D47"/>
    <w:rsid w:val="00210766"/>
    <w:rsid w:val="00211C2B"/>
    <w:rsid w:val="00224DE8"/>
    <w:rsid w:val="00226018"/>
    <w:rsid w:val="00233A4D"/>
    <w:rsid w:val="00260681"/>
    <w:rsid w:val="00261836"/>
    <w:rsid w:val="002624C0"/>
    <w:rsid w:val="0027458C"/>
    <w:rsid w:val="002865E4"/>
    <w:rsid w:val="002A5FA8"/>
    <w:rsid w:val="002A657D"/>
    <w:rsid w:val="002B2D48"/>
    <w:rsid w:val="002B327D"/>
    <w:rsid w:val="002D4CFB"/>
    <w:rsid w:val="002F0573"/>
    <w:rsid w:val="002F28AA"/>
    <w:rsid w:val="00305B0B"/>
    <w:rsid w:val="00312E7B"/>
    <w:rsid w:val="00316F4A"/>
    <w:rsid w:val="00320C97"/>
    <w:rsid w:val="00323330"/>
    <w:rsid w:val="00345538"/>
    <w:rsid w:val="003550EB"/>
    <w:rsid w:val="003640BF"/>
    <w:rsid w:val="00392019"/>
    <w:rsid w:val="003E495D"/>
    <w:rsid w:val="003F1A29"/>
    <w:rsid w:val="00407C1E"/>
    <w:rsid w:val="00416043"/>
    <w:rsid w:val="00421B9B"/>
    <w:rsid w:val="004235D0"/>
    <w:rsid w:val="0042613E"/>
    <w:rsid w:val="004413CF"/>
    <w:rsid w:val="0045174B"/>
    <w:rsid w:val="00453215"/>
    <w:rsid w:val="004555F9"/>
    <w:rsid w:val="00470C31"/>
    <w:rsid w:val="00474C3B"/>
    <w:rsid w:val="00476DBF"/>
    <w:rsid w:val="004774E7"/>
    <w:rsid w:val="00492D91"/>
    <w:rsid w:val="00494A42"/>
    <w:rsid w:val="00495178"/>
    <w:rsid w:val="004B591C"/>
    <w:rsid w:val="004C3E62"/>
    <w:rsid w:val="004E5F98"/>
    <w:rsid w:val="004F3F00"/>
    <w:rsid w:val="00511121"/>
    <w:rsid w:val="005429FA"/>
    <w:rsid w:val="0054726C"/>
    <w:rsid w:val="005526C4"/>
    <w:rsid w:val="005608D7"/>
    <w:rsid w:val="00585647"/>
    <w:rsid w:val="005919D0"/>
    <w:rsid w:val="005A571A"/>
    <w:rsid w:val="005B0508"/>
    <w:rsid w:val="005F58F5"/>
    <w:rsid w:val="005F71B2"/>
    <w:rsid w:val="00616F0E"/>
    <w:rsid w:val="00625588"/>
    <w:rsid w:val="00626832"/>
    <w:rsid w:val="00637CE7"/>
    <w:rsid w:val="00646E10"/>
    <w:rsid w:val="00647D47"/>
    <w:rsid w:val="00663EDC"/>
    <w:rsid w:val="006657EB"/>
    <w:rsid w:val="00677D9F"/>
    <w:rsid w:val="00685079"/>
    <w:rsid w:val="006A2EB8"/>
    <w:rsid w:val="006B54C1"/>
    <w:rsid w:val="006B69F3"/>
    <w:rsid w:val="006C562D"/>
    <w:rsid w:val="006C5DD9"/>
    <w:rsid w:val="006D2C6E"/>
    <w:rsid w:val="006D6BDC"/>
    <w:rsid w:val="006E3F92"/>
    <w:rsid w:val="00707EF8"/>
    <w:rsid w:val="007140EC"/>
    <w:rsid w:val="00724EEE"/>
    <w:rsid w:val="007265B5"/>
    <w:rsid w:val="007265D9"/>
    <w:rsid w:val="00737D35"/>
    <w:rsid w:val="007451A7"/>
    <w:rsid w:val="007512DB"/>
    <w:rsid w:val="00757DDB"/>
    <w:rsid w:val="00766A44"/>
    <w:rsid w:val="00786FE1"/>
    <w:rsid w:val="007A64A0"/>
    <w:rsid w:val="007C1312"/>
    <w:rsid w:val="007C188C"/>
    <w:rsid w:val="007D1ADA"/>
    <w:rsid w:val="007D3274"/>
    <w:rsid w:val="007D670C"/>
    <w:rsid w:val="007D6B26"/>
    <w:rsid w:val="007E2D70"/>
    <w:rsid w:val="007F58AE"/>
    <w:rsid w:val="00832AA5"/>
    <w:rsid w:val="008416E2"/>
    <w:rsid w:val="00842FCE"/>
    <w:rsid w:val="008549ED"/>
    <w:rsid w:val="008878D5"/>
    <w:rsid w:val="008B215D"/>
    <w:rsid w:val="008D1FEF"/>
    <w:rsid w:val="008D475C"/>
    <w:rsid w:val="008F1582"/>
    <w:rsid w:val="00903586"/>
    <w:rsid w:val="00905DA1"/>
    <w:rsid w:val="0091716F"/>
    <w:rsid w:val="009257D6"/>
    <w:rsid w:val="009262E0"/>
    <w:rsid w:val="00927CED"/>
    <w:rsid w:val="0094135F"/>
    <w:rsid w:val="00941F74"/>
    <w:rsid w:val="009433F5"/>
    <w:rsid w:val="00962E6C"/>
    <w:rsid w:val="00972E80"/>
    <w:rsid w:val="00974A1B"/>
    <w:rsid w:val="009B2C28"/>
    <w:rsid w:val="009C604C"/>
    <w:rsid w:val="00A048FF"/>
    <w:rsid w:val="00A04E68"/>
    <w:rsid w:val="00A052B6"/>
    <w:rsid w:val="00A117A6"/>
    <w:rsid w:val="00A17321"/>
    <w:rsid w:val="00A3094A"/>
    <w:rsid w:val="00A379E6"/>
    <w:rsid w:val="00A500F6"/>
    <w:rsid w:val="00A520BC"/>
    <w:rsid w:val="00A62799"/>
    <w:rsid w:val="00A72BA1"/>
    <w:rsid w:val="00A81138"/>
    <w:rsid w:val="00A86240"/>
    <w:rsid w:val="00A9521C"/>
    <w:rsid w:val="00AC44E4"/>
    <w:rsid w:val="00AC6F32"/>
    <w:rsid w:val="00AD4487"/>
    <w:rsid w:val="00AE1F39"/>
    <w:rsid w:val="00AF4219"/>
    <w:rsid w:val="00AF5859"/>
    <w:rsid w:val="00B32860"/>
    <w:rsid w:val="00B70515"/>
    <w:rsid w:val="00B831DE"/>
    <w:rsid w:val="00B949DA"/>
    <w:rsid w:val="00B964A1"/>
    <w:rsid w:val="00BC0232"/>
    <w:rsid w:val="00BD3042"/>
    <w:rsid w:val="00BE25A9"/>
    <w:rsid w:val="00C0185C"/>
    <w:rsid w:val="00C07F4D"/>
    <w:rsid w:val="00C16CFC"/>
    <w:rsid w:val="00C23153"/>
    <w:rsid w:val="00C2593A"/>
    <w:rsid w:val="00C40E77"/>
    <w:rsid w:val="00C5428C"/>
    <w:rsid w:val="00C62F17"/>
    <w:rsid w:val="00C63AF7"/>
    <w:rsid w:val="00C71BEA"/>
    <w:rsid w:val="00C72D62"/>
    <w:rsid w:val="00C86E31"/>
    <w:rsid w:val="00CA3608"/>
    <w:rsid w:val="00CB24B2"/>
    <w:rsid w:val="00CC44EC"/>
    <w:rsid w:val="00CD094F"/>
    <w:rsid w:val="00CE38E8"/>
    <w:rsid w:val="00CF388A"/>
    <w:rsid w:val="00D00278"/>
    <w:rsid w:val="00D11BBC"/>
    <w:rsid w:val="00D362FE"/>
    <w:rsid w:val="00D41E5B"/>
    <w:rsid w:val="00D446DF"/>
    <w:rsid w:val="00D5637D"/>
    <w:rsid w:val="00D56FB0"/>
    <w:rsid w:val="00D57F1B"/>
    <w:rsid w:val="00D66AE5"/>
    <w:rsid w:val="00D76FD7"/>
    <w:rsid w:val="00D7707C"/>
    <w:rsid w:val="00D9474C"/>
    <w:rsid w:val="00DD1F87"/>
    <w:rsid w:val="00DD5EF1"/>
    <w:rsid w:val="00DE0A33"/>
    <w:rsid w:val="00DF55C8"/>
    <w:rsid w:val="00E04E9A"/>
    <w:rsid w:val="00E15922"/>
    <w:rsid w:val="00E30704"/>
    <w:rsid w:val="00E32B96"/>
    <w:rsid w:val="00E84AB6"/>
    <w:rsid w:val="00E95C8B"/>
    <w:rsid w:val="00EC1B0D"/>
    <w:rsid w:val="00ED4ECD"/>
    <w:rsid w:val="00EF7E49"/>
    <w:rsid w:val="00F12FA6"/>
    <w:rsid w:val="00F16A05"/>
    <w:rsid w:val="00F43EE5"/>
    <w:rsid w:val="00F56C5F"/>
    <w:rsid w:val="00F61F4A"/>
    <w:rsid w:val="00F751CC"/>
    <w:rsid w:val="00F9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3EDC"/>
    <w:rPr>
      <w:color w:val="0000FF"/>
      <w:u w:val="single"/>
    </w:rPr>
  </w:style>
  <w:style w:type="paragraph" w:styleId="BalloonText">
    <w:name w:val="Balloon Text"/>
    <w:basedOn w:val="Normal"/>
    <w:link w:val="BalloonTextChar"/>
    <w:rsid w:val="00D57F1B"/>
    <w:rPr>
      <w:rFonts w:ascii="Tahoma" w:hAnsi="Tahoma" w:cs="Tahoma"/>
      <w:sz w:val="16"/>
      <w:szCs w:val="16"/>
    </w:rPr>
  </w:style>
  <w:style w:type="character" w:customStyle="1" w:styleId="BalloonTextChar">
    <w:name w:val="Balloon Text Char"/>
    <w:basedOn w:val="DefaultParagraphFont"/>
    <w:link w:val="BalloonText"/>
    <w:rsid w:val="00D57F1B"/>
    <w:rPr>
      <w:rFonts w:ascii="Tahoma" w:hAnsi="Tahoma" w:cs="Tahoma"/>
      <w:sz w:val="16"/>
      <w:szCs w:val="16"/>
    </w:rPr>
  </w:style>
  <w:style w:type="paragraph" w:styleId="Header">
    <w:name w:val="header"/>
    <w:basedOn w:val="Normal"/>
    <w:link w:val="HeaderChar"/>
    <w:rsid w:val="00E84AB6"/>
    <w:pPr>
      <w:tabs>
        <w:tab w:val="center" w:pos="4680"/>
        <w:tab w:val="right" w:pos="9360"/>
      </w:tabs>
    </w:pPr>
  </w:style>
  <w:style w:type="character" w:customStyle="1" w:styleId="HeaderChar">
    <w:name w:val="Header Char"/>
    <w:basedOn w:val="DefaultParagraphFont"/>
    <w:link w:val="Header"/>
    <w:rsid w:val="00E84AB6"/>
    <w:rPr>
      <w:sz w:val="24"/>
      <w:szCs w:val="24"/>
    </w:rPr>
  </w:style>
  <w:style w:type="paragraph" w:styleId="Footer">
    <w:name w:val="footer"/>
    <w:basedOn w:val="Normal"/>
    <w:link w:val="FooterChar"/>
    <w:uiPriority w:val="99"/>
    <w:rsid w:val="00E84AB6"/>
    <w:pPr>
      <w:tabs>
        <w:tab w:val="center" w:pos="4680"/>
        <w:tab w:val="right" w:pos="9360"/>
      </w:tabs>
    </w:pPr>
  </w:style>
  <w:style w:type="character" w:customStyle="1" w:styleId="FooterChar">
    <w:name w:val="Footer Char"/>
    <w:basedOn w:val="DefaultParagraphFont"/>
    <w:link w:val="Footer"/>
    <w:uiPriority w:val="99"/>
    <w:rsid w:val="00E84AB6"/>
    <w:rPr>
      <w:sz w:val="24"/>
      <w:szCs w:val="24"/>
    </w:rPr>
  </w:style>
  <w:style w:type="character" w:styleId="FollowedHyperlink">
    <w:name w:val="FollowedHyperlink"/>
    <w:basedOn w:val="DefaultParagraphFont"/>
    <w:rsid w:val="00224D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9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amb.com/" TargetMode="External"/><Relationship Id="rId13" Type="http://schemas.openxmlformats.org/officeDocument/2006/relationships/hyperlink" Target="mailto:awhite@rsd17.org" TargetMode="External"/><Relationship Id="rId3" Type="http://schemas.openxmlformats.org/officeDocument/2006/relationships/settings" Target="settings.xml"/><Relationship Id="rId7" Type="http://schemas.openxmlformats.org/officeDocument/2006/relationships/hyperlink" Target="http://www.rsd17.org/district/documents/2018/HKEAteachercontract711863021FINAL.pdf" TargetMode="External"/><Relationship Id="rId12" Type="http://schemas.openxmlformats.org/officeDocument/2006/relationships/hyperlink" Target="http://www.rsd17.org/staff/documents/Payroll%20Schedules%202018-2019%20TEACH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fdaniel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hite@rsd17.org" TargetMode="External"/><Relationship Id="rId4" Type="http://schemas.openxmlformats.org/officeDocument/2006/relationships/webSettings" Target="webSettings.xml"/><Relationship Id="rId9" Type="http://schemas.openxmlformats.org/officeDocument/2006/relationships/hyperlink" Target="http://www.cea.org/memberBenef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DE97-E7E4-4D2B-B389-E830A18B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2109</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HKEA urges you to</vt:lpstr>
    </vt:vector>
  </TitlesOfParts>
  <Company>Microsoft</Company>
  <LinksUpToDate>false</LinksUpToDate>
  <CharactersWithSpaces>13170</CharactersWithSpaces>
  <SharedDoc>false</SharedDoc>
  <HLinks>
    <vt:vector size="36" baseType="variant">
      <vt:variant>
        <vt:i4>1441831</vt:i4>
      </vt:variant>
      <vt:variant>
        <vt:i4>15</vt:i4>
      </vt:variant>
      <vt:variant>
        <vt:i4>0</vt:i4>
      </vt:variant>
      <vt:variant>
        <vt:i4>5</vt:i4>
      </vt:variant>
      <vt:variant>
        <vt:lpwstr>../../../Local Settings/Temporary Internet Files/Local Settings/Local Settings/Temporary Internet Files/Content.Outlook/SJT181Q8/danielsj33@rsd17.org.</vt:lpwstr>
      </vt:variant>
      <vt:variant>
        <vt:lpwstr/>
      </vt:variant>
      <vt:variant>
        <vt:i4>7274586</vt:i4>
      </vt:variant>
      <vt:variant>
        <vt:i4>12</vt:i4>
      </vt:variant>
      <vt:variant>
        <vt:i4>0</vt:i4>
      </vt:variant>
      <vt:variant>
        <vt:i4>5</vt:i4>
      </vt:variant>
      <vt:variant>
        <vt:lpwstr>mailto:turkington44@rsd17.org</vt:lpwstr>
      </vt:variant>
      <vt:variant>
        <vt:lpwstr/>
      </vt:variant>
      <vt:variant>
        <vt:i4>1245241</vt:i4>
      </vt:variant>
      <vt:variant>
        <vt:i4>9</vt:i4>
      </vt:variant>
      <vt:variant>
        <vt:i4>0</vt:i4>
      </vt:variant>
      <vt:variant>
        <vt:i4>5</vt:i4>
      </vt:variant>
      <vt:variant>
        <vt:lpwstr>mailto:danielsj33@rsd17.org</vt:lpwstr>
      </vt:variant>
      <vt:variant>
        <vt:lpwstr/>
      </vt:variant>
      <vt:variant>
        <vt:i4>7274586</vt:i4>
      </vt:variant>
      <vt:variant>
        <vt:i4>6</vt:i4>
      </vt:variant>
      <vt:variant>
        <vt:i4>0</vt:i4>
      </vt:variant>
      <vt:variant>
        <vt:i4>5</vt:i4>
      </vt:variant>
      <vt:variant>
        <vt:lpwstr>mailto:turkington44@rsd17.org</vt:lpwstr>
      </vt:variant>
      <vt:variant>
        <vt:lpwstr/>
      </vt:variant>
      <vt:variant>
        <vt:i4>3080241</vt:i4>
      </vt:variant>
      <vt:variant>
        <vt:i4>3</vt:i4>
      </vt:variant>
      <vt:variant>
        <vt:i4>0</vt:i4>
      </vt:variant>
      <vt:variant>
        <vt:i4>5</vt:i4>
      </vt:variant>
      <vt:variant>
        <vt:lpwstr>http://www.omni403b.com/client.asp</vt:lpwstr>
      </vt:variant>
      <vt:variant>
        <vt:lpwstr/>
      </vt:variant>
      <vt:variant>
        <vt:i4>2490491</vt:i4>
      </vt:variant>
      <vt:variant>
        <vt:i4>0</vt:i4>
      </vt:variant>
      <vt:variant>
        <vt:i4>0</vt:i4>
      </vt:variant>
      <vt:variant>
        <vt:i4>5</vt:i4>
      </vt:variant>
      <vt:variant>
        <vt:lpwstr>../../../Local Settings/Temporary Internet Files/Local Settings/Local Settings/Temporary Internet Files/Content.Outlook/06_07/danielsj33@rsd17.org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HKEA urges you to</dc:title>
  <dc:creator>HP Authorized Customer</dc:creator>
  <cp:lastModifiedBy>Jim and Peaches</cp:lastModifiedBy>
  <cp:revision>16</cp:revision>
  <cp:lastPrinted>2010-09-02T02:02:00Z</cp:lastPrinted>
  <dcterms:created xsi:type="dcterms:W3CDTF">2018-08-24T13:04:00Z</dcterms:created>
  <dcterms:modified xsi:type="dcterms:W3CDTF">2018-08-27T12:54:00Z</dcterms:modified>
</cp:coreProperties>
</file>